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49 naturvårdsarter hittats: karelsk barkfluga (EN), trolldruvemätare (EN), Atomaria abietina (VU), blackticka (VU), doftticka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r>
        <w:rPr>
          <w:b/>
          <w:i/>
        </w:rPr>
        <w:t xml:space="preserve">Atomaria abietina </w:t>
      </w:r>
      <w:r>
        <w:rPr>
          <w:b/>
        </w:rPr>
        <w:t>(VU)</w:t>
      </w:r>
      <w:r>
        <w:t xml:space="preserve"> är en skogslevande fuktbagge som främst påträffas under barken på gamla granstubbar och lågor med trädsvampar, särskilt klibbticka och violticka. Arten är knuten till mer eller mindre naturskogsliknande granskogar. Urskogsliknande granbestånd i norra och mellersta Sverige bör i största möjliga utsträckning avsättas som reservat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aspbarkskinnbagge (VU)</w:t>
      </w:r>
      <w:r>
        <w:t xml:space="preserve"> är knuten till trädsvampar, oftast svedticka, och är i Sverige funnen under barken på grova, döda aspar. Kontinuitet i gamla aspbestånd är helt avgörande för denna arts överlevnad. Det är viktigt att gamla aspar sparas och att döda träd inte forslas ut ur skogen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