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karelsk barkfluga (EN), trolldruvemätare (EN), Atomaria abietina (VU), blackticka (VU), doftticka (VU, §8), elfenbenslav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aspbarkskinnbagge (VU)</w:t>
      </w:r>
      <w:r>
        <w:t xml:space="preserve"> är knuten till trädsvampar, oftast svedticka, och är i Sverige funnen under barken på grova, döda aspar. Kontinuitet i gamla aspbestånd är helt avgörande för denna arts överlevnad. Det är viktigt att gamla aspar sparas och att döda träd inte forslas ut ur skogen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doftticka (VU, §8), elfenbenslav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Elfenbenslav (VU, §8)</w:t>
      </w:r>
      <w:r>
        <w:t xml:space="preserve"> växer på mossiga klippor, klippblock eller vid basen av lövträd i öppna skogsklädda bergbranter med mycket hög luftfuktighet. Avverkning eller andra åtgärder som exponerar klippor med elfenbenslav för direkt solljus är det största hotet. Även andra åtgärder som förändrar lokalklimatet till ett ljusare och torrare tillstånd, som dikning eller utglesning av trädskiktet, är ett hot. Arten är fridlyst enligt 8 § artskyddsförordningen och omfattas av ett åtgärdsprogram för hotade arter (ÅGP). Minskningstakten har uppgått till 30 (25–50) % under de senaste 50 åren och överstiger gränsvärdet för Sårbar (VU). Få lokaler är skyddade och fler måste skyddas. Det är viktigt att skyddade områden får en väl tilltagen skyddszon. Populationsutvecklingen måste hållas under kontinuerlig uppsikt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