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15144-2024 i Bräcke kommun</w:t>
      </w:r>
    </w:p>
    <w:p>
      <w:r>
        <w:t>Detta klagomål behandlar höga naturvärden i avverkningsanmälan A 15144-2024 i Bräcke kommun som inkom 2024-04-17 och omfattar 1,5 ha.</w:t>
      </w:r>
    </w:p>
    <w:p>
      <w:pPr>
        <w:pStyle w:val="Caption"/>
      </w:pPr>
      <w:r>
        <w:drawing>
          <wp:inline xmlns:a="http://schemas.openxmlformats.org/drawingml/2006/main" xmlns:pic="http://schemas.openxmlformats.org/drawingml/2006/picture">
            <wp:extent cx="5486400" cy="4453222"/>
            <wp:docPr id="1" name="Picture 1"/>
            <wp:cNvGraphicFramePr>
              <a:graphicFrameLocks noChangeAspect="1"/>
            </wp:cNvGraphicFramePr>
            <a:graphic>
              <a:graphicData uri="http://schemas.openxmlformats.org/drawingml/2006/picture">
                <pic:pic>
                  <pic:nvPicPr>
                    <pic:cNvPr id="0" name="A 15144-2024 karta.png"/>
                    <pic:cNvPicPr/>
                  </pic:nvPicPr>
                  <pic:blipFill>
                    <a:blip r:embed="rId16"/>
                    <a:stretch>
                      <a:fillRect/>
                    </a:stretch>
                  </pic:blipFill>
                  <pic:spPr>
                    <a:xfrm>
                      <a:off x="0" y="0"/>
                      <a:ext cx="5486400" cy="445322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6987041, E 529013 i SWEREF 99 TM.</w:t>
      </w:r>
    </w:p>
    <w:p>
      <w:r>
        <w:t>Inom 14 meter från avverkningsanmälan finns fynd av 4 naturvårdsarter, varav 3 är rödlistade, 3 är typiska (T) och 1 är signalart (S): gräddporing (VU, T), grantaggsvamp (NT), ullticka (NT, T)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