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26009-2024 i Bräcke kommun</w:t>
      </w:r>
    </w:p>
    <w:p>
      <w:r>
        <w:t>Detta klagomål behandlar höga naturvärden i avverkningsanmälan A 26009-2024 i Bräcke kommun som inkom 2024-06-24 och omfattar 8,5 ha.</w:t>
      </w:r>
    </w:p>
    <w:p>
      <w:pPr>
        <w:pStyle w:val="Caption"/>
      </w:pPr>
      <w:r>
        <w:drawing>
          <wp:inline xmlns:a="http://schemas.openxmlformats.org/drawingml/2006/main" xmlns:pic="http://schemas.openxmlformats.org/drawingml/2006/picture">
            <wp:extent cx="5486400" cy="4477124"/>
            <wp:docPr id="1" name="Picture 1"/>
            <wp:cNvGraphicFramePr>
              <a:graphicFrameLocks noChangeAspect="1"/>
            </wp:cNvGraphicFramePr>
            <a:graphic>
              <a:graphicData uri="http://schemas.openxmlformats.org/drawingml/2006/picture">
                <pic:pic>
                  <pic:nvPicPr>
                    <pic:cNvPr id="0" name="A 26009-2024 karta.png"/>
                    <pic:cNvPicPr/>
                  </pic:nvPicPr>
                  <pic:blipFill>
                    <a:blip r:embed="rId16"/>
                    <a:stretch>
                      <a:fillRect/>
                    </a:stretch>
                  </pic:blipFill>
                  <pic:spPr>
                    <a:xfrm>
                      <a:off x="0" y="0"/>
                      <a:ext cx="5486400" cy="4477124"/>
                    </a:xfrm>
                    <a:prstGeom prst="rect"/>
                  </pic:spPr>
                </pic:pic>
              </a:graphicData>
            </a:graphic>
          </wp:inline>
        </w:drawing>
      </w:r>
    </w:p>
    <w:p>
      <w:pPr>
        <w:pStyle w:val="Caption"/>
        <w:spacing w:after="240"/>
      </w:pPr>
      <w:r>
        <w:t>Figur 1. Fyndplatser för naturvårdsarter i och inom 25 meter från avverkningsanmälan. Markörer utan svart kant är placerade på fyndplatsen. Markörer med svart kant är placerade vid sidan av fyndplatsen och har ett svart streck som visar fyndplatsens exakta position. Kartans mittpunktskoordinat är N 6951266, E 522269 i SWEREF 99 TM.</w:t>
      </w:r>
    </w:p>
    <w:p>
      <w:r>
        <w:t>I och inom 25 meter från avverkningsanmälan finns fynd av 5 naturvårdsarter, varav 3 är fridlysta, 2 är typiska (T) och 4 är signalarter (S): finbräken (S, T), guckusko (S, T, §7), rödgul trumpetsvamp (S), tvåblad (S, §8) och fjällvråk (§4).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Finbräken</w:t>
      </w:r>
      <w:r>
        <w:t xml:space="preserve"> växer på kalkrika marker i frisk eller fuktig mulljord. Den kräver konstant hög luftfuktighet och är mycket känslig för skogsbruksåtgärder. Arten är placerad högst upp i Skogsstyrelsens värdepyramid för bedömning av skog med höga naturvärden och utgör en karaktärsart för de mest skyddsvärda kalkgranskogarna med långvarig ekologisk kontinuitet och högt skyddsvärde. Finbräken är typisk art för </w:t>
      </w:r>
      <w:r>
        <w:rPr>
          <w:i/>
        </w:rPr>
        <w:t xml:space="preserve">9050 Näringsrik granskog </w:t>
      </w:r>
      <w:r>
        <w:t xml:space="preserve">och </w:t>
      </w:r>
      <w:r>
        <w:rPr>
          <w:i/>
        </w:rPr>
        <w:t xml:space="preserve">9040 Fjällbjörkskog </w:t>
      </w:r>
      <w:r>
        <w:t>(SLU Artdatabanken, 2024; Nitare &amp; Skogsstyrelsen, 2019).</w:t>
      </w:r>
    </w:p>
    <w:p>
      <w:r>
        <w:rPr>
          <w:b/>
        </w:rPr>
        <w:t>Guckusko (§7)</w:t>
      </w:r>
      <w:r>
        <w:t xml:space="preserve"> omfattas av EU:s art- och habitatdirektiv och är fridlyst enligt §7 Artskyddsförordningen (bilaga 1) vilket innebär att hela dess livsmiljö ska bevaras. Guckusko är beroende av hög och jämn luftfuktighet i gamla, ostörda skogsmiljöer och är känslig för snabba förändringar av ljus-/vindförhållanden eller uttorkning. Den förekommer främst i skogar som inte påverkats av kraftig störning, till exempel slutavverkning, markberedning, körskador, gödsling eller dikning. Guckusko är rödlistad som nära hotad (NT) i den europeiska rödlistan och Sverige hyser mer än halva den beräknade populationen av arten i EU, vilket innebär att vi har ett internationellt ansvar för arten. Guckusko är typisk art för </w:t>
      </w:r>
      <w:r>
        <w:rPr>
          <w:i/>
        </w:rPr>
        <w:t>9050 Näringsrik granskog</w:t>
      </w:r>
      <w:r>
        <w:t xml:space="preserve"> (SLU Artdatabanken, 2021; IUCN, 2011).</w:t>
      </w:r>
    </w:p>
    <w:p>
      <w:r>
        <w:rPr>
          <w:b/>
        </w:rPr>
        <w:t xml:space="preserve">Rödgul trumpetsvamp </w:t>
      </w:r>
      <w:r>
        <w:t>signalerar kalkrika barrsumpskogar eller avgränsade små mineralrika ytor i barrskogslandskapet, vilka normalt har höga naturvärden. I urbergsbygder är den en bra signalart på känsliga skogsbiotoper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5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Guckusko – ekologi samt krav på livsmiljön</w:t>
      </w:r>
    </w:p>
    <w:p>
      <w:r>
        <w:t>Guckusko omfattas av EU:s art- och habitatdirektiv och är fridlyst enligt §7 Artskyddsförordningen (bilaga 1) vilket innebär att hela dess livsmiljö ska bevaras. Guckusko är beroende av hög och jämn luftfuktighet i gamla, ostörda skogsmiljöer och är känslig för snabba förändringar av ljus-/vindförhållanden eller uttorkning. Den förekommer främst i skogar som inte påverkats av kraftig störning, till exempel slutavverkning, markberedning, körskador, gödsling eller dikning (SLU Artdatabanken, 2021).Dikning och slutavverkning av guckuskons växtplatser är ett direkt hot mot arten och bör undvikas. Kalavverkning missgynnar arten, dels om hyggesavfall lämnas, vilket kan kväva enskilda bestånd, dels indirekt genom att mer konkurrensstarka arter gynnas. Körskador av skogsmaskiner och hyggesplöjning kan leda till lokalt ändrad hydrologi, då de mullrika, fuktiga jordarna är mjuka. Sverige hyser mer än halva den beräknade populationen av arten i EU, vilket innebär att vi har ett internationellt ansvar för arten (SLU Artdatabanken, 2021).</w:t>
      </w:r>
    </w:p>
    <w:p>
      <w:pPr>
        <w:pStyle w:val="Heading2"/>
      </w:pPr>
      <w:r>
        <w:t>Referenser – guckusko</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2026-10-19</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