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36183-2025 i Bräcke kommun</w:t>
      </w:r>
    </w:p>
    <w:p>
      <w:r>
        <w:t>Detta klagomål behandlar höga naturvärden i avverkningsanmälan A 36183-2025 i Bräcke kommun som inkom 2025-07-29 och omfattar 28,8 ha.</w:t>
      </w:r>
    </w:p>
    <w:p>
      <w:pPr>
        <w:pStyle w:val="Caption"/>
      </w:pPr>
      <w:r>
        <w:drawing>
          <wp:inline xmlns:a="http://schemas.openxmlformats.org/drawingml/2006/main" xmlns:pic="http://schemas.openxmlformats.org/drawingml/2006/picture">
            <wp:extent cx="4871846" cy="5724000"/>
            <wp:docPr id="1" name="Picture 1"/>
            <wp:cNvGraphicFramePr>
              <a:graphicFrameLocks noChangeAspect="1"/>
            </wp:cNvGraphicFramePr>
            <a:graphic>
              <a:graphicData uri="http://schemas.openxmlformats.org/drawingml/2006/picture">
                <pic:pic>
                  <pic:nvPicPr>
                    <pic:cNvPr id="0" name="A 36183-2025 karta.png"/>
                    <pic:cNvPicPr/>
                  </pic:nvPicPr>
                  <pic:blipFill>
                    <a:blip r:embed="rId16"/>
                    <a:stretch>
                      <a:fillRect/>
                    </a:stretch>
                  </pic:blipFill>
                  <pic:spPr>
                    <a:xfrm>
                      <a:off x="0" y="0"/>
                      <a:ext cx="487184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6962523, E 533749 i SWEREF 99 TM.</w:t>
      </w:r>
    </w:p>
    <w:p>
      <w:r>
        <w:t>I och inom 23 meter från avverkningsanmälan finns fynd av 28 naturvårdsarter, varav 13 är rödlistade, 11 är fridlysta, 20 är typiska (T) och 10 är signalarter (S): doftticka (VU, T, §8), knärot (VU, T, §8), dofttaggsvamp (NT, T), dropptaggsvamp (NT, T), grantaggsvamp (NT), kolflarnlav (NT, T), lunglav (NT, T), mörk kolflarnlav (NT), skrovellav (NT, T), stiftgelélav (NT, T), talltita (NT, §4), tretåig hackspett (NT, T, §4), ullticka (NT, T), bårdlav (S, T), grönkulla (S, T, §8), grönpyrola (S, T), gytterlav (S, T), luddlav (S, T), norrlandslav (S, T), plattlummer (S, T, §9), rödgul trumpetsvamp (S), skinnlav (S, T), stuplav (S, T), järpe (T, §4), vanlig groda (§6),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61 fyndplatser för knärot registrerade på Artportalen. Figur 2 visar gränserna för buffertzoner på 50 m, som behöver lämnas kring fyndplatserna för att knärotslokalerna inte ska försvinna vid en avverkning. Av det avverkningsanmälda området överlappar 18.36 ha med buffertzonerna och får av detta skäl inte avverkas.</w:t>
      </w:r>
    </w:p>
    <w:p>
      <w:pPr>
        <w:pStyle w:val="Caption"/>
      </w:pPr>
      <w:r>
        <w:drawing>
          <wp:inline xmlns:a="http://schemas.openxmlformats.org/drawingml/2006/main" xmlns:pic="http://schemas.openxmlformats.org/drawingml/2006/picture">
            <wp:extent cx="5486400" cy="5854045"/>
            <wp:docPr id="2" name="Picture 2"/>
            <wp:cNvGraphicFramePr>
              <a:graphicFrameLocks noChangeAspect="1"/>
            </wp:cNvGraphicFramePr>
            <a:graphic>
              <a:graphicData uri="http://schemas.openxmlformats.org/drawingml/2006/picture">
                <pic:pic>
                  <pic:nvPicPr>
                    <pic:cNvPr id="0" name="A 36183-2025 karta knärot.png"/>
                    <pic:cNvPicPr/>
                  </pic:nvPicPr>
                  <pic:blipFill>
                    <a:blip r:embed="rId17"/>
                    <a:stretch>
                      <a:fillRect/>
                    </a:stretch>
                  </pic:blipFill>
                  <pic:spPr>
                    <a:xfrm>
                      <a:off x="0" y="0"/>
                      <a:ext cx="5486400" cy="58540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6962523, E 533749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