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19337-2024 i Bräcke kommun</w:t>
      </w:r>
    </w:p>
    <w:p>
      <w:r>
        <w:t>Denna tillsynsbegäran behandlar höga naturvärden i avverkningsanmälan A 19337-2024 i Bräcke kommun som inkom 2024-05-16 och omfattar 6,0 ha.</w:t>
      </w:r>
    </w:p>
    <w:p>
      <w:pPr>
        <w:pStyle w:val="Caption"/>
      </w:pPr>
      <w:r>
        <w:drawing>
          <wp:inline xmlns:a="http://schemas.openxmlformats.org/drawingml/2006/main" xmlns:pic="http://schemas.openxmlformats.org/drawingml/2006/picture">
            <wp:extent cx="5486400" cy="5171544"/>
            <wp:docPr id="1" name="Picture 1"/>
            <wp:cNvGraphicFramePr>
              <a:graphicFrameLocks noChangeAspect="1"/>
            </wp:cNvGraphicFramePr>
            <a:graphic>
              <a:graphicData uri="http://schemas.openxmlformats.org/drawingml/2006/picture">
                <pic:pic>
                  <pic:nvPicPr>
                    <pic:cNvPr id="0" name="A 19337-2024 karta.png"/>
                    <pic:cNvPicPr/>
                  </pic:nvPicPr>
                  <pic:blipFill>
                    <a:blip r:embed="rId16"/>
                    <a:stretch>
                      <a:fillRect/>
                    </a:stretch>
                  </pic:blipFill>
                  <pic:spPr>
                    <a:xfrm>
                      <a:off x="0" y="0"/>
                      <a:ext cx="5486400" cy="5171544"/>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6962298, E 511881 i SWEREF 99 TM.</w:t>
      </w:r>
    </w:p>
    <w:p>
      <w:r>
        <w:t>I och inom 20 meter från avverkningsanmälan finns fynd av 12 naturvårdsarter, varav 5 är rödlistade, 4 är fridlysta, 11 är typiska (T) och 5 är signalarter (S): gränsticka (VU, T), gammelgransskål (NT, T), lavskrika (NT, T, §4), ullticka (NT, T), vedtrappmossa (NT, T), guckusko (S, T, §7), kransrams (S, T), svavelriska (S), tibast (S, T), underviol (S, T), blåsippa (T, §9)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Guckusko (§7)</w:t>
      </w:r>
      <w:r>
        <w:t xml:space="preserve">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Guckusko är rödlistad som nära hotad (NT) i den europeiska rödlistan och Sverige hyser mer än halva den beräknade populationen av arten i EU, vilket innebär att vi har ett internationellt ansvar för arten. Guckusko är typisk art för </w:t>
      </w:r>
      <w:r>
        <w:rPr>
          <w:i/>
        </w:rPr>
        <w:t>9050 Näringsrik granskog</w:t>
      </w:r>
      <w:r>
        <w:t xml:space="preserve"> (SLU Artdatabanken, 2021; IUCN, 2011).</w:t>
      </w:r>
    </w:p>
    <w:p>
      <w:r>
        <w:rPr>
          <w:b/>
        </w:rPr>
        <w:t>Kransrams</w:t>
      </w:r>
      <w:r>
        <w:t xml:space="preserve"> är typisk art för </w:t>
      </w:r>
      <w:r>
        <w:rPr>
          <w:i/>
        </w:rPr>
        <w:t xml:space="preserve">9020 Nordlig ädellövskog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r>
        <w:rPr>
          <w:b/>
        </w:rPr>
        <w:t xml:space="preserve">Underviol </w:t>
      </w:r>
      <w:r>
        <w:t xml:space="preserve">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Underviol är typisk art för </w:t>
      </w:r>
      <w:r>
        <w:rPr>
          <w:i/>
        </w:rPr>
        <w:t xml:space="preserve">9050 Näringsrik granskog, 9020 Nordlig ädellövskog </w:t>
      </w:r>
      <w:r>
        <w:t xml:space="preserve">och </w:t>
      </w:r>
      <w:r>
        <w:rPr>
          <w:i/>
        </w:rPr>
        <w:t>9160 Näringsrik ekskog</w:t>
      </w:r>
      <w:r>
        <w:t xml:space="preserve"> (Nitare &amp; Skogsstyrelsen, 2019; SLU Artdatabanken, 2024).</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gränsticka (VU, T), gammelgransskål (NT, T), lavskrika (NT, T, §4), ullticka (NT, T), vedtrappmossa (NT, T), guckusko (S, T, §7), kransrams (S, T), tibast (S, T), underviol (S, T), blåsippa (T, §9)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Guckusko – ekologi samt krav på livsmiljön</w:t>
      </w:r>
    </w:p>
    <w:p>
      <w:r>
        <w:t>Guckusko omfattas av EU:s art- och habitatdirektiv och är fridlyst enligt §7 Artskyddsförordningen (bilaga 1) vilket innebär att hela dess livsmiljö ska bevaras. Guckusko är beroende av hög och jämn luftfuktighet i gamla, ostörda skogsmiljöer och är känslig för snabba förändringar av ljus-/vindförhållanden eller uttorkning. Den förekommer främst i skogar som inte påverkats av kraftig störning, till exempel slutavverkning, markberedning, körskador, gödsling eller dikning (SLU Artdatabanken, 2021).Dikning och slutavverkning av guckuskons växtplatser är ett direkt hot mot arten och bör undvikas. Kalavverkning missgynnar arten, dels om hyggesavfall lämnas, vilket kan kväva enskilda bestånd, dels indirekt genom att mer konkurrensstarka arter gynnas. Körskador av skogsmaskiner och hyggesplöjning kan leda till lokalt ändrad hydrologi, då de mullrika, fuktiga jordarna är mjuka. Sverige hyser mer än halva den beräknade populationen av arten i EU, vilket innebär att vi har ett internationellt ansvar för arten (SLU Artdatabanken, 2021).</w:t>
      </w:r>
    </w:p>
    <w:p>
      <w:pPr>
        <w:pStyle w:val="Heading2"/>
      </w:pPr>
      <w:r>
        <w:t>Referenser – guckusko</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