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26956-2024 i Bräcke kommun</w:t>
      </w:r>
    </w:p>
    <w:p>
      <w:r>
        <w:t>Denna tillsynsbegäran behandlar höga naturvärden i avverkningsanmälan A 26956-2024 i Bräcke kommun som inkom 2024-06-27 och omfattar 5,7 ha.</w:t>
      </w:r>
    </w:p>
    <w:p>
      <w:pPr>
        <w:pStyle w:val="Caption"/>
      </w:pPr>
      <w:r>
        <w:drawing>
          <wp:inline xmlns:a="http://schemas.openxmlformats.org/drawingml/2006/main" xmlns:pic="http://schemas.openxmlformats.org/drawingml/2006/picture">
            <wp:extent cx="5486400" cy="4275998"/>
            <wp:docPr id="1" name="Picture 1"/>
            <wp:cNvGraphicFramePr>
              <a:graphicFrameLocks noChangeAspect="1"/>
            </wp:cNvGraphicFramePr>
            <a:graphic>
              <a:graphicData uri="http://schemas.openxmlformats.org/drawingml/2006/picture">
                <pic:pic>
                  <pic:nvPicPr>
                    <pic:cNvPr id="0" name="A 26956-2024 karta.png"/>
                    <pic:cNvPicPr/>
                  </pic:nvPicPr>
                  <pic:blipFill>
                    <a:blip r:embed="rId16"/>
                    <a:stretch>
                      <a:fillRect/>
                    </a:stretch>
                  </pic:blipFill>
                  <pic:spPr>
                    <a:xfrm>
                      <a:off x="0" y="0"/>
                      <a:ext cx="5486400" cy="4275998"/>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6966220, E 558618 i SWEREF 99 TM.</w:t>
      </w:r>
    </w:p>
    <w:p>
      <w:r>
        <w:t>I avverkningsanmälan finns fynd av 9 naturvårdsarter, varav 5 är rödlistade, 8 är fridlysta och 5 är typiska (T): knärot (VU, T, §8), kungsörn (NT, §4), lunglav (NT, T), mindre hackspett (NT, T, §4), talltita (NT, §4), spillkråka (T, §4), tallbit (T, §4), grönsiska (§4) och orre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0.73 ha med buffertzonerna och får av detta skäl inte avverkas.</w:t>
      </w:r>
    </w:p>
    <w:p>
      <w:pPr>
        <w:pStyle w:val="Caption"/>
      </w:pPr>
      <w:r>
        <w:drawing>
          <wp:inline xmlns:a="http://schemas.openxmlformats.org/drawingml/2006/main" xmlns:pic="http://schemas.openxmlformats.org/drawingml/2006/picture">
            <wp:extent cx="5486400" cy="4029016"/>
            <wp:docPr id="2" name="Picture 2"/>
            <wp:cNvGraphicFramePr>
              <a:graphicFrameLocks noChangeAspect="1"/>
            </wp:cNvGraphicFramePr>
            <a:graphic>
              <a:graphicData uri="http://schemas.openxmlformats.org/drawingml/2006/picture">
                <pic:pic>
                  <pic:nvPicPr>
                    <pic:cNvPr id="0" name="A 26956-2024 karta knärot.png"/>
                    <pic:cNvPicPr/>
                  </pic:nvPicPr>
                  <pic:blipFill>
                    <a:blip r:embed="rId17"/>
                    <a:stretch>
                      <a:fillRect/>
                    </a:stretch>
                  </pic:blipFill>
                  <pic:spPr>
                    <a:xfrm>
                      <a:off x="0" y="0"/>
                      <a:ext cx="5486400" cy="4029016"/>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6966220, E 558618 i SWEREF 99 TM.</w:t>
      </w:r>
    </w:p>
    <w:p>
      <w:r>
        <w:rPr>
          <w:b/>
        </w:rPr>
        <w:t>Kungsörn (NT, §4)</w:t>
      </w:r>
      <w:r>
        <w:t xml:space="preserve"> är rödlistad som nära hotad och upptagen i bilaga 1 EU:s fågeldirektiv. Boträd får inte avverkas och skyddande skog bör vid avverkning alltid sparas runt örnbon, även runt s.k. alternativbon. Som utgångspunkt vid bedömning av hur mycket skog som skall lämnas runt boträdet bör 200 meters radie gälla. Under häckningsperioden (1 januari till 31 augusti) är kungsörnen störningskänslig och inga skogsbruksåtgärder eller andra störande verksamheter får förekomma närmare än 500 m från boet under den tiden. Arealen på det sparade skogspartiet kan uppgå till åtskilliga tiotals hektar beroende på t.ex. topografi, vindexponering och insyn. Det är även värdefullt om sammanhängande skog kan lämnas i någon riktning. Avverkning av gammelskog i bergsbranter och annan svår terräng måste undvikas (SLU Artdatabanken, 2024; Skogsstyrelsen, 2016).</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Mindre hackspett (NT, §4)</w:t>
      </w:r>
      <w:r>
        <w:t xml:space="preserve"> är rödlistad som nära hotad, fridlyst och prioriterad art i Skogsvårdslagen. Minskningstakten har uppgått till 25 (10–40) % under de senaste 15 åren och bedöms vara nära gränsvärdet för Sårbar (VU). (A2bc). Arten har stora revir och höga krav när det gäller förekomst av lövskog på landskapsnivå. För att häcka framgångsrikt behöver ett par cirka 40 ha äldre lövdominerad skog inom ett område på upp till 200 ha. Under vintern kan födosök även ske i äldre grandominerad skog. Mindre hackspett är typisk art för </w:t>
      </w:r>
      <w:r>
        <w:rPr>
          <w:i/>
        </w:rPr>
        <w:t>9010 Taiga, 9750 Svämlövskog, 9080 Lövsumpskog, 9030 Landhöjningsskog och 9040 Fjällbjörkskog</w:t>
      </w:r>
      <w:r>
        <w:t xml:space="preserve"> (SLU Artdatabanken, 2021; Skogsstyrelsen, 2016).</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Tallbit (§4)</w:t>
      </w:r>
      <w:r>
        <w:t xml:space="preserve"> ställer höga krav på sin livsmiljö och permanent förekomst av häckande tallbit finns huvudsakligen i gammal grandominerad barrblandskog av naturskogskaraktär. Reviren är relativt stora (12–75 hektar) och arten saknas i områden med storskaligt skogsbruk med hög andel stora hyggen och täta ungskogar. Områden med dokumenterad permanent förekomst har vanligtvis så stora naturvärden att skogsbruk är olämpligt. Tallbit är typisk art för </w:t>
      </w:r>
      <w:r>
        <w:rPr>
          <w:i/>
        </w:rPr>
        <w:t>9010 Taiga</w:t>
      </w:r>
      <w:r>
        <w:t xml:space="preserve"> (SLU Artdatabanken, 2026; Skogsstyrelsen, 2016). Observationer av tallbit i naturskog eller under häckningstid måste alltid utredas.</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knärot (VU, T, §8), lunglav (NT, T), mindre hackspett (NT, T, §4), spillkråka (T, §4) och tallbit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Kungsörn – ekologi samt krav på livsmiljön</w:t>
      </w:r>
    </w:p>
    <w:p>
      <w:r>
        <w:t>Kungsörn är rödlistad som nära hotad (NT) och fridlyst enligt 4§ Artskyddsförordningen samt upptagen i bilaga 1 EU:s fågeldirektiv. Kungsörnen häckar i skogs- och fjällområden där den bygger stora risbon i grova träd eller på klipphyllor. Risboet är ca 1,5 m i diameter och i extremfall upp till 5 m högt, vanligtvis beläget i en kraftig tall eller i ett klippstup, ofta med utsikt över terrängen. Varje par har ofta flera alternativa boplatser inom sitt revir och dessa kan ligga åtskilliga kilometer från varandra (upp till 6,5 km konstaterat i Norge). Bon i träd placeras oftast på 2/3 höjd, mera sällan i eller nära toppen (SLU Artdatabanken, 2024).</w:t>
      </w:r>
    </w:p>
    <w:p>
      <w:r>
        <w:t>I marker med medelgod bytestillgång är avståndet mellan etablerade par under naturliga förhållanden i genomsnitt cirka 10 km. I områden med gott om byten, som t.ex. i Skåne och Gotland men lokalt även i Norrland, kan avstånden vara betydligt kortare. Till exempel på Gotland har samtidiga häckningar skett i bon belägna endast lite drygt tre kilometer från varandra. I fattiga norrlandsskogar är medelavståndet mellan paren drygt 15 km. (SLU Artdatabanken, 2024).</w:t>
      </w:r>
    </w:p>
    <w:p>
      <w:r>
        <w:t>Boträd får inte avverkas och skyddande skog bör vid avverkning alltid sparas runt örnbon, även runt s.k. alternativbon. Som utgångspunkt vid bedömning av hur mycket skog som skall lämnas runt boträdet bör 200 meters radie gälla. Under häckningsperioden (1 januari till 31 augusti) är kungsörnen störningskänslig och inga skogsbruksåtgärder eller annan störande berksamhet får förekomma närmare än 500 m från boet under den tiden. Arealen på det sparade skogspartiet kan uppgå till åtskilliga tiotals hektar beroende på t.ex. topografi, vindexponering och insyn. Det är även värdefullt om sammanhängande skog kan lämnas i någon riktning. Avverkning av gammelskog i bergsbranter och annan svår terräng måste undvikas (SLU Artdatabanken, 2024; Skogsstyrelsen, 2016).</w:t>
      </w:r>
    </w:p>
    <w:p>
      <w:r>
        <w:t>Kungsörnen har på lång sikt en något osäker framtid på grund av den genomhuggning och kalavverkning av äldre, urskogsartade bestånd som fortfarande sker långt upp mot fjällområdena. Därvid kan brist på lämpliga boträd uppstå, likaså försämrad bytestillgång. Boträden, tallar i minst 95 % av fallen, bör vara kraftiga och i Norrland helst minst 200 år gamla. Medelåldern på 97 friska träd var 311 år vid en studie i Norrland 1975–1980. På Gotland har medelåldern på boträden konstaterats vara 145 år. Den gammelskog som i dagens läge finns kvar i Norrland hittas framför allt i svåravverkade, branta sluttningar i anslutning till berg, på blockrika berg, i eller i anslutning till raviner och sprickdalar eller på myrholmar. Eftersom ungefär halva den svenska kungsörnsstammen är beroende av lämpliga boträd skulle en mer omfattande avverkning i ovan nämnda terrängtyper troligen vara starkt negativ för artens fortbestånd. (SLU Artdatabanken, 2024).</w:t>
      </w:r>
    </w:p>
    <w:p>
      <w:pPr>
        <w:pStyle w:val="Heading2"/>
      </w:pPr>
      <w:r>
        <w:t>Referenser – kungsörn</w:t>
      </w:r>
    </w:p>
    <w:p>
      <w:r>
        <w:t xml:space="preserve">Skogsstyrelsen, 2016. </w:t>
      </w:r>
      <w:r>
        <w:rPr>
          <w:i/>
        </w:rPr>
        <w:t xml:space="preserve">Vägledning för hänsyn till kungsörn. </w:t>
      </w:r>
      <w:r>
        <w:t>Vägledningar och kunskapsstöd artskydd – Skogsstyrelsen</w:t>
      </w:r>
    </w:p>
    <w:p>
      <w:r>
        <w:t xml:space="preserve">SLU Artdatabanken, 2024.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Mindre hackspett – ekologi samt krav på livsmiljön</w:t>
      </w:r>
    </w:p>
    <w:p>
      <w:r>
        <w:t xml:space="preserve">Mindre hackspett (NT) är rödlistad som nära hotad, fridlyst och prioriterad art i Skogsvårdslagen. Den är typisk art för </w:t>
      </w:r>
      <w:r>
        <w:rPr>
          <w:i/>
        </w:rPr>
        <w:t>9010 Taiga, 9750 Svämlövskog, 9080 Lövsumpskog, 9030 Landhöjningsskog och 9040 Fjällbjörkskog</w:t>
      </w:r>
      <w:r>
        <w:t>. Minskningstakten har uppgått till 25 (10–40) % under de senaste 15 åren och bedöms vara nära gränsvärdet för Sårbar (VU). (A2bc). (SLU Artdatabanken 2021).</w:t>
      </w:r>
    </w:p>
    <w:p>
      <w:r>
        <w:t>Den mindre hackspetten lever i löv- och blandskog med förekomst av äldre lövträd, gärna ädellövträd i södra Sverige. Norrut förekommer arten i gamla löv- och blandskogar med al, björk och asp. Ett mycket glest bestånd förekommer i fjällbjörkskogen. Under vintern kan födosök ske även i äldre grandominerad skog, troligen för att den ger bättre skydd mot rovdjur och rovfåglar än ren lövskog. (SLU Artdatabanken, 2021).</w:t>
      </w:r>
    </w:p>
    <w:p>
      <w:r>
        <w:t>Arten har stora revir och höga krav när det gäller förekomst av lövskog på landskapsnivå. För att häcka framgångsrikt behöver ett par cirka 40 ha äldre lövdominerad skog inom ett område på upp till 200 ha. Under vintern utsträcks födosöket till ett större område på flera hundra hektar, men varje individ återvänder till samma natthål kväll efter kväll. Arten häckar i murkna lövträdsstammar eller stubbar (oftast klibbal eller björk), vanligen 3–7 meter över marken. Ett nytt bohål hackas ut varje vår (Skogsstyrelsen, 2016 &amp; SLU Artdatabanken, 2021).</w:t>
      </w:r>
    </w:p>
    <w:p>
      <w:r>
        <w:t>Den mindre hackspetten missgynnas av gallring i löv- och blandskogar, om lövträd tas bort. Vidare så missgynnas arten starkt genom avverkning av äldre lövträd, dränering och avverkning av al- och björkkärr, röjning eller gallring av täta strandskogar, alkärr samt borttagande av murkna träd och grenar. Nedhuggning av äldre hagmarksbjörkar och alar är också negativt. Arten hotas dessutom av biobränsleuttag i gamla inägomarker och andra lövskogar (Skogsstyrelsen, 2016 &amp; SLU Artdatabanken, 2021).</w:t>
      </w:r>
    </w:p>
    <w:p>
      <w:pPr>
        <w:pStyle w:val="Heading2"/>
      </w:pPr>
      <w:r>
        <w:t>Referenser – mindre hackspett</w:t>
      </w:r>
    </w:p>
    <w:p>
      <w:r>
        <w:t xml:space="preserve">Skogsstyrelsen, 2016. </w:t>
      </w:r>
      <w:r>
        <w:rPr>
          <w:i/>
        </w:rPr>
        <w:t xml:space="preserve">Vägledning för hänsyn till mindre hackspett. </w:t>
      </w:r>
      <w:r>
        <w:t>https://www.skogsstyrelsen.se/globalassets/lag-och-tillsyn/artskydd/vagledningar-for-hansyn-till-faglar/mindre-hackspett-vagledning-hansyn2.pdf</w:t>
      </w:r>
    </w:p>
    <w:p>
      <w:r>
        <w:t xml:space="preserve">SLU Artdatabanken, 2021.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pPr>
        <w:pStyle w:val="Heading1"/>
      </w:pPr>
      <w:r>
        <w:t>Tallbit – ekologi samt krav på livsmiljön</w:t>
      </w:r>
    </w:p>
    <w:p>
      <w:r>
        <w:t xml:space="preserve">Tallbit (§4) är typisk art för </w:t>
      </w:r>
      <w:r>
        <w:rPr>
          <w:i/>
        </w:rPr>
        <w:t>9010 Taiga</w:t>
      </w:r>
      <w:r>
        <w:t xml:space="preserve"> och prioriterad art enligt Skogsvårdslagen. Den förekommer från norra Dalarna och norrut genom de inre delarna av Norrland, norrut till norra Norrbotten. Tallbiten ställer höga krav på sin livsmiljö och permanent förekomst av häckande tallbit finns huvudsakligen i gammal grandominerad barrblandskog av naturskogskaraktär med inslag av björk, gråal, rönn och viden, påfallande ofta i områden med inslag av myrmark och små vattendrag. Reviren är relativt stora (12–75 hektar enligt befintliga studier) och arten saknas i områden med storskaligt skogsbruk med hög andel stora hyggen och täta ungskogar. Områden med dokumenterad permanent förekomst har ofta så stora naturvärden att skogsbruk är olämpligt (SLU Artdatabanken, 2026; Skogsstyrelsen, 2016).</w:t>
      </w:r>
    </w:p>
    <w:p>
      <w:r>
        <w:t>Arealerna grandominerad naturskog har i stora delar av landet blivit allt för små, och bestånden är dessutom i många fall allt för isolerade, för att kunna upprätthålla stabila populationer. Omdaningen av naturskogsartad skog till produktionsskog medför en förlust av viktiga häckningsmiljöer, något som förstärks av ökad fragmentering av kvarvarande naturskogsartade bestånd. Områden med dokumenterad permanent förekomst i naturskogsmiljöer kan ha så stora naturvärden att de bör bli föremål för områdesskydd eller naturvårdsavsättningar (Skogsstyrelsen, 2016).</w:t>
      </w:r>
    </w:p>
    <w:p>
      <w:r>
        <w:t>Tallbiten flyttar normalt endast begränsade sträckor inom norra barrskogsregionen och de flesta vintrar ses den endast i mycket liten omfattning utanför häckningsområdet. Med långa och oregelbundna mellanrum uppträder tallbiten invasionsaktigt och i samband med sådana rörelser kan den observeras i stora delar av Sverige (SLU Artdatabanken, 2026).</w:t>
      </w:r>
    </w:p>
    <w:p>
      <w:pPr>
        <w:pStyle w:val="Heading2"/>
      </w:pPr>
      <w:r>
        <w:t>Referenser – tallbit</w:t>
      </w:r>
    </w:p>
    <w:p>
      <w:r>
        <w:t xml:space="preserve">Skogsstyrelsen, 2016. </w:t>
      </w:r>
      <w:r>
        <w:rPr>
          <w:i/>
        </w:rPr>
        <w:t xml:space="preserve">Vägledning för hänsyn till tallbit. </w:t>
      </w:r>
      <w:r>
        <w:t>Vägledningar och kunskapsstöd artskydd - Skogsstyrelsen</w:t>
      </w:r>
    </w:p>
    <w:p>
      <w:r>
        <w:t>SLU Artdatabanken, 2026.</w:t>
      </w:r>
      <w:r>
        <w:rPr>
          <w:i/>
        </w:rPr>
        <w:t xml:space="preserve"> Artfakta: tallbit (Pinicola enucleator).</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3" name="Picture 3"/>
            <wp:cNvGraphicFramePr>
              <a:graphicFrameLocks noChangeAspect="1"/>
            </wp:cNvGraphicFramePr>
            <a:graphic>
              <a:graphicData uri="http://schemas.openxmlformats.org/drawingml/2006/picture">
                <pic:pic>
                  <pic:nvPicPr>
                    <pic:cNvPr id="0" name="uppföljning av västlig taiga.jpeg"/>
                    <pic:cNvPicPr/>
                  </pic:nvPicPr>
                  <pic:blipFill>
                    <a:blip r:embed="rId18"/>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 Id="rId18"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