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som inkom 2025-01-20 och omfattar 11,4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