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51425-2023 i Bräcke kommun</w:t>
      </w:r>
    </w:p>
    <w:p>
      <w:r>
        <w:t>Denna tillsynsbegäran behandlar höga naturvärden i avverkningsanmälan A 51425-2023 i Bräcke kommun som inkom 2023-10-20 och omfattar 7,6 ha.</w:t>
      </w:r>
    </w:p>
    <w:p>
      <w:pPr>
        <w:pStyle w:val="Caption"/>
      </w:pPr>
      <w:r>
        <w:drawing>
          <wp:inline xmlns:a="http://schemas.openxmlformats.org/drawingml/2006/main" xmlns:pic="http://schemas.openxmlformats.org/drawingml/2006/picture">
            <wp:extent cx="5486400" cy="5007518"/>
            <wp:docPr id="1" name="Picture 1"/>
            <wp:cNvGraphicFramePr>
              <a:graphicFrameLocks noChangeAspect="1"/>
            </wp:cNvGraphicFramePr>
            <a:graphic>
              <a:graphicData uri="http://schemas.openxmlformats.org/drawingml/2006/picture">
                <pic:pic>
                  <pic:nvPicPr>
                    <pic:cNvPr id="0" name="A 51425-2023 karta.png"/>
                    <pic:cNvPicPr/>
                  </pic:nvPicPr>
                  <pic:blipFill>
                    <a:blip r:embed="rId16"/>
                    <a:stretch>
                      <a:fillRect/>
                    </a:stretch>
                  </pic:blipFill>
                  <pic:spPr>
                    <a:xfrm>
                      <a:off x="0" y="0"/>
                      <a:ext cx="5486400" cy="5007518"/>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6968766, E 563640 i SWEREF 99 TM.</w:t>
      </w:r>
    </w:p>
    <w:p>
      <w:r>
        <w:t>I och inom 16 meter från avverkningsanmälan finns fynd av 28 naturvårdsarter, varav 19 är rödlistade, 3 är fridlysta, 22 är typiska (T) och 9 är signalarter (S): doftticka (VU, T, §8), garnlav (VU, T), goliatmusseron (VU, T), knärot (VU, T, §8), skrovlig taggsvamp (VU), smalfotad taggsvamp (VU), blå taggsvamp (NT, T), dropptaggsvamp (NT, T), kolflarnlav (NT, T), lunglav (NT, T), mörk kolflarnlav (NT), rosenticka (NT, T), tallticka (NT, T), tretåig hackspett (NT, T, §4), ullticka (NT, T), vedtrappmossa (NT, T), vit vedfingersvamp (NT), vitgrynig nållav (NT), äggvaxskivling (NT), barkticka (S, T), bollvitmossa (S, T), bårdlav (S, T), gytterlav (S, T), korallblylav (S, T), luddlav (S, T), norrlandslav (S, T), skinnlav (S,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1.34 ha med buffertzonerna och får av detta skäl inte avverkas.</w:t>
      </w:r>
    </w:p>
    <w:p>
      <w:pPr>
        <w:pStyle w:val="Caption"/>
      </w:pPr>
      <w:r>
        <w:drawing>
          <wp:inline xmlns:a="http://schemas.openxmlformats.org/drawingml/2006/main" xmlns:pic="http://schemas.openxmlformats.org/drawingml/2006/picture">
            <wp:extent cx="5486400" cy="4404203"/>
            <wp:docPr id="2" name="Picture 2"/>
            <wp:cNvGraphicFramePr>
              <a:graphicFrameLocks noChangeAspect="1"/>
            </wp:cNvGraphicFramePr>
            <a:graphic>
              <a:graphicData uri="http://schemas.openxmlformats.org/drawingml/2006/picture">
                <pic:pic>
                  <pic:nvPicPr>
                    <pic:cNvPr id="0" name="A 51425-2023 karta knärot.png"/>
                    <pic:cNvPicPr/>
                  </pic:nvPicPr>
                  <pic:blipFill>
                    <a:blip r:embed="rId17"/>
                    <a:stretch>
                      <a:fillRect/>
                    </a:stretch>
                  </pic:blipFill>
                  <pic:spPr>
                    <a:xfrm>
                      <a:off x="0" y="0"/>
                      <a:ext cx="5486400" cy="440420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6968766, E 563640 i SWEREF 99 TM.</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 vedfingersvamp (NT)</w:t>
      </w:r>
      <w:r>
        <w:t xml:space="preserve"> växer på murken lövved, främst grova och barklösa asplågor. Svampen indikerar sena aspsuccessioner inom områden med konstant hög luftfuktighet. Raviner, bergrötter och liknande platser med skuggiga förhållanden och fuktig mark med ett stort inslag av lövträd är exempel på biotoper där vit vedfingersvamp ofta växer och dessa bör undantas från skogsbruk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doftticka (VU, T, §8), garnlav (VU, T), goliatmusseron (VU, T), knärot (VU, T, §8), blå taggsvamp (NT, T), dropptaggsvamp (NT, T), kolflarnlav (NT, T), lunglav (NT, T), rosenticka (NT, T), tallticka (NT, T), tretåig hackspett (NT, T, §4), ullticka (NT, T), vedtrappmossa (NT, T), barkticka (S, T), bollvitmossa (S, T), bårdlav (S, T), gytterlav (S, T), korallblylav (S, T), luddlav (S, T), norrlandslav (S, T), skinnlav (S, T)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