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51969-2025 i Bräcke kommun</w:t>
      </w:r>
    </w:p>
    <w:p>
      <w:r>
        <w:t>Detta klagomål behandlar höga naturvärden i avverkningsanmälan A 51969-2025 i Bräcke kommun som inkom 2025-10-22 och omfattar 10,2 ha.</w:t>
      </w:r>
    </w:p>
    <w:p>
      <w:pPr>
        <w:pStyle w:val="Caption"/>
      </w:pPr>
      <w:r>
        <w:drawing>
          <wp:inline xmlns:a="http://schemas.openxmlformats.org/drawingml/2006/main" xmlns:pic="http://schemas.openxmlformats.org/drawingml/2006/picture">
            <wp:extent cx="4805782" cy="5724000"/>
            <wp:docPr id="1" name="Picture 1"/>
            <wp:cNvGraphicFramePr>
              <a:graphicFrameLocks noChangeAspect="1"/>
            </wp:cNvGraphicFramePr>
            <a:graphic>
              <a:graphicData uri="http://schemas.openxmlformats.org/drawingml/2006/picture">
                <pic:pic>
                  <pic:nvPicPr>
                    <pic:cNvPr id="0" name="A 51969-2025 karta.png"/>
                    <pic:cNvPicPr/>
                  </pic:nvPicPr>
                  <pic:blipFill>
                    <a:blip r:embed="rId16"/>
                    <a:stretch>
                      <a:fillRect/>
                    </a:stretch>
                  </pic:blipFill>
                  <pic:spPr>
                    <a:xfrm>
                      <a:off x="0" y="0"/>
                      <a:ext cx="4805782"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6986434, E 516945 i SWEREF 99 TM.</w:t>
      </w:r>
    </w:p>
    <w:p>
      <w:r>
        <w:t>I och inom 2 meter från avverkningsanmälan finns fynd av 32 naturvårdsarter, varav 23 är rödlistade, 7 är fridlysta, 26 är typiska (T) och 6 är signalarter (S): doftticka (VU, T, §8), garnlav (VU, T), knärot (VU, T, §8), läderlappslav (VU, T), barkporlav (NT), brunpudrad nållav (NT, T), doftskinn (NT, T), dropptaggsvamp (NT, T), gammelgransskål (NT, T), kolflarnlav (NT, T), liten svartspik (NT), lunglav (NT, T), rosa skärelav (NT, T), skrovellav (NT, T), skuggblåslav (NT, T), stiftgelélav (NT, T), talltita (NT, §4), tretåig hackspett (NT, T, §4), ullticka (NT, T), vaddporing (NT), vedskivlav (NT, T), vedtrappmossa (NT, T), vitgrynig nållav (NT), barkkornlav (S, T), bårdlav (S, T), korallblylav (S, T), nästlav (S, T), skinnlav (S, T), stor aspticka (S, T), järpe (T, §4), tallbit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3.04 ha med buffertzonerna och får av detta skäl inte avverkas.</w:t>
      </w:r>
    </w:p>
    <w:p>
      <w:pPr>
        <w:pStyle w:val="Caption"/>
      </w:pPr>
      <w:r>
        <w:drawing>
          <wp:inline xmlns:a="http://schemas.openxmlformats.org/drawingml/2006/main" xmlns:pic="http://schemas.openxmlformats.org/drawingml/2006/picture">
            <wp:extent cx="5486400" cy="5806911"/>
            <wp:docPr id="2" name="Picture 2"/>
            <wp:cNvGraphicFramePr>
              <a:graphicFrameLocks noChangeAspect="1"/>
            </wp:cNvGraphicFramePr>
            <a:graphic>
              <a:graphicData uri="http://schemas.openxmlformats.org/drawingml/2006/picture">
                <pic:pic>
                  <pic:nvPicPr>
                    <pic:cNvPr id="0" name="A 51969-2025 karta knärot.png"/>
                    <pic:cNvPicPr/>
                  </pic:nvPicPr>
                  <pic:blipFill>
                    <a:blip r:embed="rId17"/>
                    <a:stretch>
                      <a:fillRect/>
                    </a:stretch>
                  </pic:blipFill>
                  <pic:spPr>
                    <a:xfrm>
                      <a:off x="0" y="0"/>
                      <a:ext cx="5486400" cy="580691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6986434, E 516945 i SWEREF 99 TM.</w:t>
      </w:r>
    </w:p>
    <w:p>
      <w:r>
        <w:rPr>
          <w:b/>
        </w:rPr>
        <w:t>Läderlappslav (VU)</w:t>
      </w:r>
      <w:r>
        <w:t xml:space="preserve"> växer på gamla lövträd, främst lönn, rönn, asp och ask, på lokaler med hög luftfuktighet. Lämpliga lokaler bör skyddas. Tills vidare bör lokaler i skog undantas från rationell skogsskötsel. Läderlappslav är typisk art för </w:t>
      </w:r>
      <w:r>
        <w:rPr>
          <w:i/>
        </w:rPr>
        <w:t xml:space="preserve">9010 Taiga, 9020 Nordlig ädellövskog, 9070 Trädklädd betesmark </w:t>
      </w:r>
      <w:r>
        <w:t xml:space="preserve">och </w:t>
      </w:r>
      <w:r>
        <w:rPr>
          <w:i/>
        </w:rPr>
        <w:t>9180 Ädellövskog i branter</w:t>
      </w:r>
      <w:r>
        <w:t xml:space="preserve"> (SLU Artdatabanken, 2024).</w:t>
      </w:r>
    </w:p>
    <w:p>
      <w:r>
        <w:rPr>
          <w:b/>
        </w:rPr>
        <w:t>Barkporlav (NT)</w:t>
      </w:r>
      <w:r>
        <w:t xml:space="preserve"> växer främst på äldre lövträd i lövrika barrskogar av naturskogskaraktär med hög luftfuktighet. Flera av växtplatserna är vid större vattenfall, där forsdimma ger hög och jämn luftfuktighet. Det huvudsakliga hotet mot arten är skogsavverkningar och det finns inga uppgifter om att arten överlever på lövträd som har ställts kvar efter slutavverkning. Kända lokaler bör skyddas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29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32 naturvårdsarter varav 23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