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34927-2023 i Bräcke kommun</w:t>
      </w:r>
    </w:p>
    <w:p>
      <w:r>
        <w:t>Denna tillsynsbegäran behandlar höga naturvärden i avverkningsanmälan A 34927-2023 i Bräcke kommun som inkom 2023-08-04 och omfattar 11,5 ha.</w:t>
      </w:r>
    </w:p>
    <w:p>
      <w:pPr>
        <w:pStyle w:val="Caption"/>
      </w:pPr>
      <w:r>
        <w:drawing>
          <wp:inline xmlns:a="http://schemas.openxmlformats.org/drawingml/2006/main" xmlns:pic="http://schemas.openxmlformats.org/drawingml/2006/picture">
            <wp:extent cx="5486400" cy="4489714"/>
            <wp:docPr id="1" name="Picture 1"/>
            <wp:cNvGraphicFramePr>
              <a:graphicFrameLocks noChangeAspect="1"/>
            </wp:cNvGraphicFramePr>
            <a:graphic>
              <a:graphicData uri="http://schemas.openxmlformats.org/drawingml/2006/picture">
                <pic:pic>
                  <pic:nvPicPr>
                    <pic:cNvPr id="0" name="A 34927-2023 karta.png"/>
                    <pic:cNvPicPr/>
                  </pic:nvPicPr>
                  <pic:blipFill>
                    <a:blip r:embed="rId16"/>
                    <a:stretch>
                      <a:fillRect/>
                    </a:stretch>
                  </pic:blipFill>
                  <pic:spPr>
                    <a:xfrm>
                      <a:off x="0" y="0"/>
                      <a:ext cx="5486400" cy="448971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6984864, E 503370 i SWEREF 99 TM.</w:t>
      </w:r>
    </w:p>
    <w:p>
      <w:r>
        <w:t>I och inom 25 meter från avverkningsanmälan finns fynd av 20 naturvårdsarter, varav 10 är rödlistade, 5 är fridlysta, 13 är typiska (T) och 8 är signalarter (S): streckvaxskivling (EN), doftticka (VU, T, §8), knärot (VU, T, §8), läderdoftande fingersvamp (VU), stor odörspindling (VU), barrfagerspindling (NT), lunglav (NT, T), ullticka (NT, T), vedskivlav (NT, T), vårärt (NT, T), bårdlav (S, T), diskvaxskivling (S), gytterlav (S, T), kamjordstjärna (S), kransrams (S, T), spindelblomster (S, T, §8), stor aspticka (S, T), svavelriska (S),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Streckvaxskivling (EN) </w:t>
      </w:r>
      <w:r>
        <w:t>är en mycket sällsynt och starkt hotad art som bildar mykorrhiza med tall och gran på kalk- och örtrik mark i äldre barrblandskog, huvudsakligen ängsgranskog. Rationellt skogsbruk, särskilt slutavverkning och markberedning är förödande för arten. Streckvaxskivling är placerad högst upp i Skogsstyrelsens värdepyramid för bedömning av skog med höga naturvärden. Fler områden med äldre granskog på kalkhaltig mark bör skyddas och lämnas till fri utveckling (SLU Artdatabanken, 2026; Nitare &amp; Skogsstyrelsen, 2019).</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5904373"/>
            <wp:docPr id="2" name="Picture 2"/>
            <wp:cNvGraphicFramePr>
              <a:graphicFrameLocks noChangeAspect="1"/>
            </wp:cNvGraphicFramePr>
            <a:graphic>
              <a:graphicData uri="http://schemas.openxmlformats.org/drawingml/2006/picture">
                <pic:pic>
                  <pic:nvPicPr>
                    <pic:cNvPr id="0" name="A 34927-2023 karta knärot.png"/>
                    <pic:cNvPicPr/>
                  </pic:nvPicPr>
                  <pic:blipFill>
                    <a:blip r:embed="rId17"/>
                    <a:stretch>
                      <a:fillRect/>
                    </a:stretch>
                  </pic:blipFill>
                  <pic:spPr>
                    <a:xfrm>
                      <a:off x="0" y="0"/>
                      <a:ext cx="5486400" cy="59043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6984864, E 503370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knärot (VU, T, §8), lunglav (NT, T), ullticka (NT, T), vedskivlav (NT, T), vårärt (NT, T), bårdlav (S, T), gytterlav (S, T), kransrams (S, T), spindelblomster (S, T, §8), stor aspticka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