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39553-2026 i Bräcke kommun</w:t>
      </w:r>
    </w:p>
    <w:p>
      <w:r>
        <w:t>Denna tillsynsbegäran behandlar höga naturvärden i avverkningsanmälan A 39553-2026 i Bräcke kommun som inkom 2026-09-24 och omfattar 16,5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9553-2026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6959363, E 548716 i SWEREF 99 TM.</w:t>
      </w:r>
    </w:p>
    <w:p>
      <w:r>
        <w:t>I och inom 21 meter från avverkningsanmälan finns fynd av 8 naturvårdsarter, varav 4 är rödlistade, 3 är fridlysta, 7 är typiska (T) och 2 är signalarter (S): doftticka (VU, T, §8), kryddspindling (NT, T), lunglav (NT, T), ullticka (NT, T), kransrams (S, T), tibast (S,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kryddspindling (NT, T), lunglav (NT, T), ullticka (NT, T), kransrams (S, T), tibast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