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51969-2025 i Bräcke kommun</w:t>
      </w:r>
    </w:p>
    <w:p>
      <w:r>
        <w:t>Denna tillsynsbegäran behandlar höga naturvärden i avverkningsanmälan A 51969-2025 i Bräcke kommun som inkom 2025-10-22 och omfattar 10,2 ha.</w:t>
      </w:r>
    </w:p>
    <w:p>
      <w:pPr>
        <w:pStyle w:val="Caption"/>
      </w:pPr>
      <w:r>
        <w:drawing>
          <wp:inline xmlns:a="http://schemas.openxmlformats.org/drawingml/2006/main" xmlns:pic="http://schemas.openxmlformats.org/drawingml/2006/picture">
            <wp:extent cx="4805782" cy="5724000"/>
            <wp:docPr id="1" name="Picture 1"/>
            <wp:cNvGraphicFramePr>
              <a:graphicFrameLocks noChangeAspect="1"/>
            </wp:cNvGraphicFramePr>
            <a:graphic>
              <a:graphicData uri="http://schemas.openxmlformats.org/drawingml/2006/picture">
                <pic:pic>
                  <pic:nvPicPr>
                    <pic:cNvPr id="0" name="A 51969-2025 karta.png"/>
                    <pic:cNvPicPr/>
                  </pic:nvPicPr>
                  <pic:blipFill>
                    <a:blip r:embed="rId16"/>
                    <a:stretch>
                      <a:fillRect/>
                    </a:stretch>
                  </pic:blipFill>
                  <pic:spPr>
                    <a:xfrm>
                      <a:off x="0" y="0"/>
                      <a:ext cx="480578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6986434, E 516945 i SWEREF 99 TM.</w:t>
      </w:r>
    </w:p>
    <w:p>
      <w:r>
        <w:t>I och inom 2 meter från avverkningsanmälan finns fynd av 32 naturvårdsarter, varav 23 är rödlistade, 7 är fridlysta, 26 är typiska (T) och 6 är signalarter (S): doftticka (VU, T, §8), garnlav (VU, T), knärot (VU, T, §8), läderlappslav (VU, T), barkporlav (NT), brunpudrad nållav (NT, T), doftskinn (NT, T), dropptaggsvamp (NT, T), gammelgransskål (NT, T), kolflarnlav (NT, T), liten svartspik (NT), lunglav (NT, T), rosa skärelav (NT, T), skrovellav (NT, T), skuggblåslav (NT, T), stiftgelélav (NT, T), talltita (NT, §4), tretåig hackspett (NT, T, §4), ullticka (NT, T), vaddporing (NT), vedskivlav (NT, T), vedtrappmossa (NT, T), vitgrynig nållav (NT), barkkornlav (S, T), bårdlav (S, T), korallblylav (S, T), nästlav (S, T), skinnlav (S, T), stor aspticka (S, T), järpe (T, §4), tallbit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5806911"/>
            <wp:docPr id="2" name="Picture 2"/>
            <wp:cNvGraphicFramePr>
              <a:graphicFrameLocks noChangeAspect="1"/>
            </wp:cNvGraphicFramePr>
            <a:graphic>
              <a:graphicData uri="http://schemas.openxmlformats.org/drawingml/2006/picture">
                <pic:pic>
                  <pic:nvPicPr>
                    <pic:cNvPr id="0" name="A 51969-2025 karta knärot.png"/>
                    <pic:cNvPicPr/>
                  </pic:nvPicPr>
                  <pic:blipFill>
                    <a:blip r:embed="rId17"/>
                    <a:stretch>
                      <a:fillRect/>
                    </a:stretch>
                  </pic:blipFill>
                  <pic:spPr>
                    <a:xfrm>
                      <a:off x="0" y="0"/>
                      <a:ext cx="5486400" cy="5806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6986434, E 516945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läderlappslav (VU, T), brunpudrad nållav (NT, T), doftskinn (NT, T), dropptaggsvamp (NT, T), gammelgransskål (NT, T), kolflarnlav (NT, T), lunglav (NT, T), rosa skärelav (NT, T), skrovellav (NT, T), skuggblåslav (NT, T), stiftgelélav (NT, T), tretåig hackspett (NT, T, §4), ullticka (NT, T), vedskivlav (NT, T), vedtrappmossa (NT, T), barkkornlav (S, T), bårdlav (S, T), korallblylav (S, T), nästlav (S, T), skinnlav (S, T), stor aspticka (S, T), järpe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