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38594-2025 i Bräcke kommun</w:t>
      </w:r>
    </w:p>
    <w:p>
      <w:r>
        <w:t>Detta dokument behandlar höga naturvärden i avverkningsanmälan A 38594-2025 i Bräcke kommun. Denna avverkningsanmälan inkom 2025-08-15 11:45:45 och omfattar 8,0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knärot (VU, §8), garnlav (NT), granticka (NT), lunglav (NT), tretåig hackspett (NT, §4), barkticka (S), bårdlav (S), stuplav (S) och ögonpyrola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1691"/>
            <wp:docPr id="1" name="Picture 1"/>
            <wp:cNvGraphicFramePr>
              <a:graphicFrameLocks noChangeAspect="1"/>
            </wp:cNvGraphicFramePr>
            <a:graphic>
              <a:graphicData uri="http://schemas.openxmlformats.org/drawingml/2006/picture">
                <pic:pic>
                  <pic:nvPicPr>
                    <pic:cNvPr id="0" name="A 38594-2025 karta.png"/>
                    <pic:cNvPicPr/>
                  </pic:nvPicPr>
                  <pic:blipFill>
                    <a:blip r:embed="rId16"/>
                    <a:stretch>
                      <a:fillRect/>
                    </a:stretch>
                  </pic:blipFill>
                  <pic:spPr>
                    <a:xfrm>
                      <a:off x="0" y="0"/>
                      <a:ext cx="5486400" cy="35116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6973622, E 555208 i SWEREF 99 TM.</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2025;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2025;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Stuplav är typisk art för </w:t>
      </w:r>
      <w:r>
        <w:rPr>
          <w:i/>
        </w:rPr>
        <w:t>9010 Taiga</w:t>
      </w:r>
      <w:r>
        <w:t xml:space="preserve">. I skogar med suboceaniskt klimat finns det en mycket sällsynt parasit, njurlavsknapp </w:t>
      </w:r>
      <w:r>
        <w:rPr>
          <w:i/>
        </w:rPr>
        <w:t>Pletocarpon nephromeum</w:t>
      </w:r>
      <w:r>
        <w:t xml:space="preserve"> (EN), som växer på stuplav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1.20 ha med buffertzonerna och får av detta skäl inte avverkas.</w:t>
      </w:r>
    </w:p>
    <w:p>
      <w:pPr>
        <w:pStyle w:val="Caption"/>
      </w:pPr>
      <w:r>
        <w:drawing>
          <wp:inline xmlns:a="http://schemas.openxmlformats.org/drawingml/2006/main" xmlns:pic="http://schemas.openxmlformats.org/drawingml/2006/picture">
            <wp:extent cx="5486400" cy="4088933"/>
            <wp:docPr id="2" name="Picture 2"/>
            <wp:cNvGraphicFramePr>
              <a:graphicFrameLocks noChangeAspect="1"/>
            </wp:cNvGraphicFramePr>
            <a:graphic>
              <a:graphicData uri="http://schemas.openxmlformats.org/drawingml/2006/picture">
                <pic:pic>
                  <pic:nvPicPr>
                    <pic:cNvPr id="0" name="A 38594-2025 karta knärot.png"/>
                    <pic:cNvPicPr/>
                  </pic:nvPicPr>
                  <pic:blipFill>
                    <a:blip r:embed="rId17"/>
                    <a:stretch>
                      <a:fillRect/>
                    </a:stretch>
                  </pic:blipFill>
                  <pic:spPr>
                    <a:xfrm>
                      <a:off x="0" y="0"/>
                      <a:ext cx="5486400" cy="408893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6973622, E 555208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