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1594-2025 i Bräcke kommun</w:t>
      </w:r>
    </w:p>
    <w:p>
      <w:r>
        <w:t>Detta klagomål behandlar höga naturvärden i samrådsanmälan S 1594-2025 i Bräcke kommun som inkom 2025-05-20 och omfattar 4,2 ha.</w:t>
      </w:r>
    </w:p>
    <w:p>
      <w:pPr>
        <w:pStyle w:val="Caption"/>
      </w:pPr>
      <w:r>
        <w:drawing>
          <wp:inline xmlns:a="http://schemas.openxmlformats.org/drawingml/2006/main" xmlns:pic="http://schemas.openxmlformats.org/drawingml/2006/picture">
            <wp:extent cx="5486400" cy="4225094"/>
            <wp:docPr id="1" name="Picture 1"/>
            <wp:cNvGraphicFramePr>
              <a:graphicFrameLocks noChangeAspect="1"/>
            </wp:cNvGraphicFramePr>
            <a:graphic>
              <a:graphicData uri="http://schemas.openxmlformats.org/drawingml/2006/picture">
                <pic:pic>
                  <pic:nvPicPr>
                    <pic:cNvPr id="0" name="S 1594-2025 karta.png"/>
                    <pic:cNvPicPr/>
                  </pic:nvPicPr>
                  <pic:blipFill>
                    <a:blip r:embed="rId16"/>
                    <a:stretch>
                      <a:fillRect/>
                    </a:stretch>
                  </pic:blipFill>
                  <pic:spPr>
                    <a:xfrm>
                      <a:off x="0" y="0"/>
                      <a:ext cx="5486400" cy="4225094"/>
                    </a:xfrm>
                    <a:prstGeom prst="rect"/>
                  </pic:spPr>
                </pic:pic>
              </a:graphicData>
            </a:graphic>
          </wp:inline>
        </w:drawing>
      </w:r>
    </w:p>
    <w:p>
      <w:pPr>
        <w:pStyle w:val="Caption"/>
        <w:spacing w:after="240"/>
      </w:pPr>
      <w:r>
        <w:t>Figur 1. Fyndplatser för naturvårdsarter inom 24 meter från samrådsanmälan. Markörer utan svart kant är placerade på fyndplatsen. Markörer med svart kant är placerade vid sidan av fyndplatsen och har ett svart streck som visar fyndplatsens exakta position. Kartans mittpunktskoordinat är N 6989638, E 514307 i SWEREF 99 TM.</w:t>
      </w:r>
    </w:p>
    <w:p>
      <w:r>
        <w:t>Inom 24 meter från samrådsanmälan finns fynd av 6 naturvårdsarter, varav 3 är rödlistade, 2 är fridlysta, 6 är typiska (T) och 3 är signalarter (S): doftticka (VU, T, §8), knärot (VU, T, §8), lunglav (NT, T), bårdlav (S, T), gytterlav (S, T) och stuplav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och är typisk art för </w:t>
      </w:r>
      <w:r>
        <w:rPr>
          <w:i/>
        </w:rPr>
        <w:t>9010 Taiga</w:t>
      </w:r>
      <w:r>
        <w:t xml:space="preserve"> och</w:t>
      </w:r>
      <w:r>
        <w:rPr>
          <w:i/>
        </w:rPr>
        <w:t xml:space="preserve"> 9050 Näringsrik granskog </w:t>
      </w:r>
      <w:r>
        <w:t>(IUCN Redlist, 2024; Nitare &amp; Skogsstyrelsen, 2019; SLU Artdatabanken, 2024).</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samrådsanmälda området finns 1 fyndplatser för knärot registrerade på Artportalen. Figur 2 visar gränserna för buffertzoner på 50 m, som behöver lämnas kring fyndplatserna för att knärotslokalerna inte ska försvinna vid en avverkning. Av det samrådsanmälda området överlappar 0.16 ha med buffertzonerna och får av detta skäl inte avverkas.</w:t>
      </w:r>
    </w:p>
    <w:p>
      <w:pPr>
        <w:pStyle w:val="Caption"/>
      </w:pPr>
      <w:r>
        <w:drawing>
          <wp:inline xmlns:a="http://schemas.openxmlformats.org/drawingml/2006/main" xmlns:pic="http://schemas.openxmlformats.org/drawingml/2006/picture">
            <wp:extent cx="5486400" cy="4104431"/>
            <wp:docPr id="2" name="Picture 2"/>
            <wp:cNvGraphicFramePr>
              <a:graphicFrameLocks noChangeAspect="1"/>
            </wp:cNvGraphicFramePr>
            <a:graphic>
              <a:graphicData uri="http://schemas.openxmlformats.org/drawingml/2006/picture">
                <pic:pic>
                  <pic:nvPicPr>
                    <pic:cNvPr id="0" name="S 1594-2025 karta knärot.png"/>
                    <pic:cNvPicPr/>
                  </pic:nvPicPr>
                  <pic:blipFill>
                    <a:blip r:embed="rId17"/>
                    <a:stretch>
                      <a:fillRect/>
                    </a:stretch>
                  </pic:blipFill>
                  <pic:spPr>
                    <a:xfrm>
                      <a:off x="0" y="0"/>
                      <a:ext cx="5486400" cy="4104431"/>
                    </a:xfrm>
                    <a:prstGeom prst="rect"/>
                  </pic:spPr>
                </pic:pic>
              </a:graphicData>
            </a:graphic>
          </wp:inline>
        </w:drawing>
      </w:r>
    </w:p>
    <w:p>
      <w:pPr>
        <w:pStyle w:val="Caption"/>
        <w:spacing w:after="240"/>
      </w:pPr>
      <w:r>
        <w:t>Figur 2. Fyndplatser och buffertzoner för knärot i det samrådsanmälda området. Endast fyndplatser vars buffertzoner överlappar med det samrådsanmälda området har tagits med i visualiseringen. Kartans mittpunktskoordinat är N 6989638, E 514307 i SWEREF 99 TM.</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 xml:space="preserve">Gytterlav </w:t>
      </w:r>
      <w:r>
        <w:t xml:space="preserve">signalerar höga naturvärden i södra och mellersta Sverige, samt längs Norrlands kustland. Förekomster i söder, framför allt på trädstammar, är en indikation på gammal skogsmark med långvarig förekomst av äldre lövträd i miljöer med hög och jämn luftfuktighet. Gytterlav är typisk art för </w:t>
      </w:r>
      <w:r>
        <w:rPr>
          <w:i/>
        </w:rPr>
        <w:t xml:space="preserve">9040 Fjällbjörkskog </w:t>
      </w:r>
      <w:r>
        <w:t>(Nitare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6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