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23809-2026 i Bräcke kommun</w:t>
      </w:r>
    </w:p>
    <w:p>
      <w:r>
        <w:t>Detta klagomål behandlar höga naturvärden i avverkningsanmälan A 23809-2026 i Bräcke kommun som inkom 2026-05-22 och omfattar 1,4 ha.</w:t>
      </w:r>
    </w:p>
    <w:p>
      <w:pPr>
        <w:pStyle w:val="Caption"/>
      </w:pPr>
      <w:r>
        <w:drawing>
          <wp:inline xmlns:a="http://schemas.openxmlformats.org/drawingml/2006/main" xmlns:pic="http://schemas.openxmlformats.org/drawingml/2006/picture">
            <wp:extent cx="5486400" cy="4577656"/>
            <wp:docPr id="1" name="Picture 1"/>
            <wp:cNvGraphicFramePr>
              <a:graphicFrameLocks noChangeAspect="1"/>
            </wp:cNvGraphicFramePr>
            <a:graphic>
              <a:graphicData uri="http://schemas.openxmlformats.org/drawingml/2006/picture">
                <pic:pic>
                  <pic:nvPicPr>
                    <pic:cNvPr id="0" name="A 23809-2026 karta.png"/>
                    <pic:cNvPicPr/>
                  </pic:nvPicPr>
                  <pic:blipFill>
                    <a:blip r:embed="rId16"/>
                    <a:stretch>
                      <a:fillRect/>
                    </a:stretch>
                  </pic:blipFill>
                  <pic:spPr>
                    <a:xfrm>
                      <a:off x="0" y="0"/>
                      <a:ext cx="5486400" cy="45776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6976429, E 511365 i SWEREF 99 TM.</w:t>
      </w:r>
    </w:p>
    <w:p>
      <w:r>
        <w:t>I avverkningsanmälan finns fynd av 11 naturvårdsarter, varav 4 är rödlistade, 2 är fridlysta, 9 är typiska (T) och 1 är signalart (S): trolldruvemätare (EN), björktrast (NT, §4), rosenticka (NT, T), rynkskinn (NT, T), svart trolldruva (S, T), blåsippa (T, §9), hultbräken (T), kransmossa (T), kärrviol (T), nordisk stormhatt (T) och ormbär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Trolldruvemätare (EN)</w:t>
      </w:r>
      <w:r>
        <w:t xml:space="preserve"> är rödlistad som starkt hotad och omfattas av åtgärdsprogram för hotade arter (ÅGP). Enligt Artdatabankens artfaktablad om arten bör skogar med värdväxten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I en dom från 2026-06-04 slår mark- och miljööverdomstolen (MÖD) fast att den kontinuerliga ekologiska funktionen (KEF) för trolldruvemätaren och dess livsmiljöer ska upprätthållas, se MÖD M 10697-25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Trolldruvemätare – ekologi samt krav på livsmiljön</w:t>
      </w:r>
    </w:p>
    <w:p>
      <w:r>
        <w:t>Trolldruvemätare (EN), rödlistad som starkt hotad, omfattas av åtgärdsprogram för hotade arter (ÅGP)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2026).</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2026).</w:t>
      </w:r>
    </w:p>
    <w:p>
      <w:r>
        <w:t>I en dom från 2026-06-04 slår mark- och miljööverdomstolen (MÖD) fast att den kontinuerliga ekologiska funktionen (KEF) för trolldruvemätaren och dess livsmiljöer ska upprätthållas, se MÖD M 10697-25.</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