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33388-2025 i Bräcke kommun</w:t>
      </w:r>
    </w:p>
    <w:p>
      <w:r>
        <w:t>Detta klagomål behandlar höga naturvärden i avverkningsanmälan A 33388-2025 i Bräcke kommun som inkom 2025-07-03 och omfattar 10,7 ha.</w:t>
      </w:r>
    </w:p>
    <w:p>
      <w:pPr>
        <w:pStyle w:val="Caption"/>
      </w:pPr>
      <w:r>
        <w:drawing>
          <wp:inline xmlns:a="http://schemas.openxmlformats.org/drawingml/2006/main" xmlns:pic="http://schemas.openxmlformats.org/drawingml/2006/picture">
            <wp:extent cx="5486400" cy="5562866"/>
            <wp:docPr id="1" name="Picture 1"/>
            <wp:cNvGraphicFramePr>
              <a:graphicFrameLocks noChangeAspect="1"/>
            </wp:cNvGraphicFramePr>
            <a:graphic>
              <a:graphicData uri="http://schemas.openxmlformats.org/drawingml/2006/picture">
                <pic:pic>
                  <pic:nvPicPr>
                    <pic:cNvPr id="0" name="A 33388-2025 karta.png"/>
                    <pic:cNvPicPr/>
                  </pic:nvPicPr>
                  <pic:blipFill>
                    <a:blip r:embed="rId16"/>
                    <a:stretch>
                      <a:fillRect/>
                    </a:stretch>
                  </pic:blipFill>
                  <pic:spPr>
                    <a:xfrm>
                      <a:off x="0" y="0"/>
                      <a:ext cx="5486400" cy="5562866"/>
                    </a:xfrm>
                    <a:prstGeom prst="rect"/>
                  </pic:spPr>
                </pic:pic>
              </a:graphicData>
            </a:graphic>
          </wp:inline>
        </w:drawing>
      </w:r>
    </w:p>
    <w:p>
      <w:pPr>
        <w:pStyle w:val="Caption"/>
        <w:spacing w:after="240"/>
      </w:pPr>
      <w:r>
        <w:t>Figur 1. Fyndplatser för naturvårdsarter i och inom 23 meter från avverkningsanmälan. Markörer utan svart kant är placerade på fyndplatsen. Markörer med svart kant är placerade vid sidan av fyndplatsen och har ett svart streck som visar fyndplatsens exakta position. Kartans mittpunktskoordinat är N 6986170, E 558918 i SWEREF 99 TM.</w:t>
      </w:r>
    </w:p>
    <w:p>
      <w:r>
        <w:t>I och inom 23 meter från avverkningsanmälan finns fynd av 9 naturvårdsarter, varav 6 är rödlistade, 3 är fridlysta, 8 är typiska (T) och 2 är signalarter (S): garnlav (VU, T), knärot (VU, T, §8), lunglav (NT, T), rosenticka (NT, T), ullticka (NT, T), vedtrappmossa (NT, T), skinnlav (S, T), spindelblomster (S, T, §8) och nattviol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2 fyndplatser för knärot registrerade på Artportalen. Figur 2 visar gränserna för buffertzoner på 50 m, som behöver lämnas kring fyndplatserna för att knärotslokalerna inte ska försvinna vid en avverkning. Av det avverkningsanmälda området överlappar 0.82 ha med buffertzonerna och får av detta skäl inte avverkas.</w:t>
      </w:r>
    </w:p>
    <w:p>
      <w:pPr>
        <w:pStyle w:val="Caption"/>
      </w:pPr>
      <w:r>
        <w:drawing>
          <wp:inline xmlns:a="http://schemas.openxmlformats.org/drawingml/2006/main" xmlns:pic="http://schemas.openxmlformats.org/drawingml/2006/picture">
            <wp:extent cx="5486400" cy="7384562"/>
            <wp:docPr id="2" name="Picture 2"/>
            <wp:cNvGraphicFramePr>
              <a:graphicFrameLocks noChangeAspect="1"/>
            </wp:cNvGraphicFramePr>
            <a:graphic>
              <a:graphicData uri="http://schemas.openxmlformats.org/drawingml/2006/picture">
                <pic:pic>
                  <pic:nvPicPr>
                    <pic:cNvPr id="0" name="A 33388-2025 karta knärot.png"/>
                    <pic:cNvPicPr/>
                  </pic:nvPicPr>
                  <pic:blipFill>
                    <a:blip r:embed="rId17"/>
                    <a:stretch>
                      <a:fillRect/>
                    </a:stretch>
                  </pic:blipFill>
                  <pic:spPr>
                    <a:xfrm>
                      <a:off x="0" y="0"/>
                      <a:ext cx="5486400" cy="7384562"/>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6986170, E 558918 i SWEREF 99 TM.</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 xml:space="preserve">Vedtrappmossa (NT) </w:t>
      </w:r>
      <w:r>
        <w:t xml:space="preserve">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Vedtrappmossa är typisk art för </w:t>
      </w:r>
      <w:r>
        <w:rPr>
          <w:i/>
        </w:rPr>
        <w:t>9010 Taiga</w:t>
      </w:r>
      <w:r>
        <w:t xml:space="preserve"> (SLU Artdatabanken, 2024).</w:t>
      </w:r>
    </w:p>
    <w:p>
      <w:r>
        <w:rPr>
          <w:b/>
        </w:rPr>
        <w:t xml:space="preserve">Skinnlav </w:t>
      </w:r>
      <w:r>
        <w:t xml:space="preserve">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Skinnlav är typisk art för </w:t>
      </w:r>
      <w:r>
        <w:rPr>
          <w:i/>
        </w:rPr>
        <w:t xml:space="preserve">9010 Taiga, 9020 Nordlig ädellövskog </w:t>
      </w:r>
      <w:r>
        <w:t xml:space="preserve">och </w:t>
      </w:r>
      <w:r>
        <w:rPr>
          <w:i/>
        </w:rPr>
        <w:t xml:space="preserve">9070 Trädklädd betesmark </w:t>
      </w:r>
      <w:r>
        <w:t>(Nitare &amp; Skogsstyrelsen, 2019; SLU Artdatabanken, 2025).</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Spindelblomster är typisk art för </w:t>
      </w:r>
      <w:r>
        <w:rPr>
          <w:i/>
        </w:rPr>
        <w:t xml:space="preserve">9010 Taiga, 9050 Näringsrik granskog </w:t>
      </w:r>
      <w:r>
        <w:t>och</w:t>
      </w:r>
      <w:r>
        <w:rPr>
          <w:i/>
        </w:rPr>
        <w:t xml:space="preserve"> 9040 Fjällbjörkskog</w:t>
      </w:r>
      <w:r>
        <w:t xml:space="preserve"> (Nitare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9 naturvårdsarter varav 6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