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klagomål behandlar höga naturvärden i avverkningsanmälan A 34927-2023 i Bräcke kommun som inkom 2023-08-04 och omfattar 11,5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6984864, E 503370 i SWEREF 99 TM.</w:t>
      </w:r>
    </w:p>
    <w:p>
      <w:r>
        <w:t>I och inom 25 meter från avverkningsanmälan finns fynd av 20 naturvårdsarter, varav 10 är rödlistade, 5 är fridlysta, 13 är typiska (T) och 8 är signalarter (S): streckvaxskivling (EN), doftticka (VU, T, §8), knärot (VU, T, §8), läderdoftande fingersvamp (VU), stor odörspindling (VU), barrfagerspindling (NT), lunglav (NT, T), ullticka (NT, T), vedskivlav (NT, T), vårärt (NT, T), bårdlav (S, T), diskvaxskivling (S), gytterlav (S, T), kamjordstjärna (S), kransrams (S, T), spindelblomster (S, T, §8), stor aspticka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