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62113-2023 i Bräcke kommun</w:t>
      </w:r>
    </w:p>
    <w:p>
      <w:r>
        <w:t>Detta klagomål behandlar höga naturvärden i avverkningsanmälan A 62113-2023 i Bräcke kommun som inkom 2023-12-06 och omfattar 4,5 ha.</w:t>
      </w:r>
    </w:p>
    <w:p>
      <w:pPr>
        <w:pStyle w:val="Caption"/>
      </w:pPr>
      <w:r>
        <w:drawing>
          <wp:inline xmlns:a="http://schemas.openxmlformats.org/drawingml/2006/main" xmlns:pic="http://schemas.openxmlformats.org/drawingml/2006/picture">
            <wp:extent cx="5486400" cy="4922677"/>
            <wp:docPr id="1" name="Picture 1"/>
            <wp:cNvGraphicFramePr>
              <a:graphicFrameLocks noChangeAspect="1"/>
            </wp:cNvGraphicFramePr>
            <a:graphic>
              <a:graphicData uri="http://schemas.openxmlformats.org/drawingml/2006/picture">
                <pic:pic>
                  <pic:nvPicPr>
                    <pic:cNvPr id="0" name="A 62113-2023 karta.png"/>
                    <pic:cNvPicPr/>
                  </pic:nvPicPr>
                  <pic:blipFill>
                    <a:blip r:embed="rId16"/>
                    <a:stretch>
                      <a:fillRect/>
                    </a:stretch>
                  </pic:blipFill>
                  <pic:spPr>
                    <a:xfrm>
                      <a:off x="0" y="0"/>
                      <a:ext cx="5486400" cy="492267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6960535, E 546223 i SWEREF 99 TM.</w:t>
      </w:r>
    </w:p>
    <w:p>
      <w:r>
        <w:t>I och inom 23 meter från avverkningsanmälan finns fynd av 15 naturvårdsarter, varav 11 är rödlistade, 10 är typiska (T) och 3 är signalarter (S): garnlav (VU, T), gräddporing (VU, T), skrovlig taggsvamp (VU), smalfotad taggsvamp (VU), blanksvart spiklav (NT), blå taggsvamp (NT, T), dropptaggsvamp (NT, T), orange taggsvamp (NT, T), skarp dropptaggsvamp (NT), vedskivlav (NT, T), violettgrå tagellav (NT, T), kransrams (S, T), svavelriska (S), tibast (S, T)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