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40386-2020 i Bräcke kommun</w:t>
      </w:r>
    </w:p>
    <w:p>
      <w:r>
        <w:t>Detta dokument behandlar höga naturvärden i avverkningsanmälan A 40386-2020 i Bräcke kommun. Denna avverkningsanmälan inkom 2020-08-25 och omfattar 1,5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gyllenspindling (VU), lammticka (VU), blekspindling agg. (NT), mjölsvärting (NT), persiljespindling (NT), svartvit taggsvamp (NT) och barrfagerspindling (S). Av dessa är 6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23921"/>
            <wp:docPr id="1" name="Picture 1"/>
            <wp:cNvGraphicFramePr>
              <a:graphicFrameLocks noChangeAspect="1"/>
            </wp:cNvGraphicFramePr>
            <a:graphic>
              <a:graphicData uri="http://schemas.openxmlformats.org/drawingml/2006/picture">
                <pic:pic>
                  <pic:nvPicPr>
                    <pic:cNvPr id="0" name="A 40386-2020 karta.png"/>
                    <pic:cNvPicPr/>
                  </pic:nvPicPr>
                  <pic:blipFill>
                    <a:blip r:embed="rId16"/>
                    <a:stretch>
                      <a:fillRect/>
                    </a:stretch>
                  </pic:blipFill>
                  <pic:spPr>
                    <a:xfrm>
                      <a:off x="0" y="0"/>
                      <a:ext cx="5486400" cy="28239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6969396, E 542720 i SWEREF 99 TM.</w:t>
      </w:r>
    </w:p>
    <w:p>
      <w:r>
        <w:rPr>
          <w:b/>
        </w:rPr>
        <w:t>Gyllenspindling (VU)</w:t>
      </w:r>
      <w:r>
        <w:t xml:space="preserve"> bildar mykorrhiza med gran i ängsgranskog på kalkrik mark, mer sällan med tall i kalktallskog. Minskningstakten uppgår till 30 % inom 50 år och överstiger gränsvärdet för Sårbar (VU) enligt A-kriteriet. Skogsbruk med kalavverkning, markberedning etc. är ogynnsamt för arten. Barrskog på kalkrik mark är en synnerligen skyddsvärd biotop varav fler områden behöver skyddas (SLU Artdatabanken, 2024).</w:t>
      </w:r>
    </w:p>
    <w:p>
      <w:r>
        <w:rPr>
          <w:b/>
        </w:rPr>
        <w:t>Lammticka (VU)</w:t>
      </w:r>
      <w:r>
        <w:t xml:space="preserve"> bildar mykorrhiza med tall och växer i tämligen öppna barrskogar ofta magra tallhedar, gärna på sandig mark.</w:t>
      </w:r>
      <w:r>
        <w:rPr>
          <w:b/>
        </w:rPr>
        <w:t xml:space="preserve"> </w:t>
      </w:r>
      <w:r>
        <w:t>Arten är placerad högst upp i Skogsstyrelsens värdepyramid för bedömning av skog med höga naturvärden och tål inte slutavverkning (SLU Artdatabanken, 2024; Nitare &amp; Skogsstyrelsen, 2019).</w:t>
      </w:r>
    </w:p>
    <w:p>
      <w:r>
        <w:rPr>
          <w:b/>
        </w:rPr>
        <w:t>Mjölsvärting (NT)</w:t>
      </w:r>
      <w:r>
        <w:t xml:space="preserve"> växer i luckig barrskog, huvudsakligen på tallhed och i äldre skog. Mager, äldre tallskog och barrblandskog med lång trädkontinuitet bör undantas från trakthyggesbruk. Mjölsvärtingens lokaler är ofta nyckelbiotoper och bör då sparas i sin helhet (SLU Artdatabanken, 2024).</w:t>
      </w:r>
    </w:p>
    <w:p>
      <w:r>
        <w:rPr>
          <w:b/>
        </w:rPr>
        <w:t>Persiljespindling (NT)</w:t>
      </w:r>
      <w:r>
        <w:t xml:space="preserve"> bildar mykorrhiza med tall, gran och bok i ängsgranskog, kalktallskog och i ängsbokskog på rikare mark. Minskningstakten uppgår till 15 % inom 50 år och bedöms vara nära gränsvärdet för Sårbar (VU). (A2c+3c+4c). Persiljespindlingen hotas av avverkningar och är särskilt känslig eftersom den är knuten till äldre, produktiv barrskog, d.v.s. en skogstyp som är en bristvara i skyddade områden i Sverige och som samtidigt försvinner i snabb takt genom slutavverkningar. Skyddet för äldre ört- och kalkrika barrskogar med trädkontinuitet måste öka och oskyddade bokskogar med persiljespindling måste få ett formellt skydd i form av biotopskydd eller naturreservat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