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33228-2026 i Bräcke kommun</w:t>
      </w:r>
    </w:p>
    <w:p>
      <w:r>
        <w:t>Detta klagomål behandlar höga naturvärden i avverkningsanmälan A 33228-2026 i Bräcke kommun som inkom 2026-08-12 och omfattar 13,5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33228-2026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6997275, E 521263 i SWEREF 99 TM.</w:t>
      </w:r>
    </w:p>
    <w:p>
      <w:r>
        <w:t>I och inom 25 meter från avverkningsanmälan finns fynd av 15 naturvårdsarter, varav 15 är rödlistade, 1 är fridlyst och 8 är typiska (T): urskogsporing (EN), gräddporing (VU, T), skrovlig taggsvamp (VU), spadskinn (VU), blå taggsvamp (NT, T), dropptaggsvamp (NT, T), dvärgbägarlav (NT, T), kolflarnlav (NT, T), kortskaftad ärgspik (NT), kådvaxskinn (NT), lavskrika (NT, T, §4), mörk kolflarnlav (NT), orange taggsvamp (NT, T), skarp dropptaggsvamp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