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49768-2024 i Bräcke kommun</w:t>
      </w:r>
    </w:p>
    <w:p>
      <w:r>
        <w:t>Detta dokument behandlar höga naturvärden i avverkningsanmälan A 49768-2024 i Bräcke kommun. Denna avverkningsanmälan inkom 2024-11-01 och omfattar 15,7 ha.</w:t>
      </w:r>
    </w:p>
    <w:p>
      <w:r>
        <w:t>Nedan presenteras fynd av naturvårdsarter och fridlysta 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doftticka (VU, §8), rynkskinn (VU), garnlav (NT), lunglav (NT) och ullticka (NT).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34451"/>
            <wp:docPr id="1" name="Picture 1"/>
            <wp:cNvGraphicFramePr>
              <a:graphicFrameLocks noChangeAspect="1"/>
            </wp:cNvGraphicFramePr>
            <a:graphic>
              <a:graphicData uri="http://schemas.openxmlformats.org/drawingml/2006/picture">
                <pic:pic>
                  <pic:nvPicPr>
                    <pic:cNvPr id="0" name="A 49768-2024 karta.png"/>
                    <pic:cNvPicPr/>
                  </pic:nvPicPr>
                  <pic:blipFill>
                    <a:blip r:embed="rId16"/>
                    <a:stretch>
                      <a:fillRect/>
                    </a:stretch>
                  </pic:blipFill>
                  <pic:spPr>
                    <a:xfrm>
                      <a:off x="0" y="0"/>
                      <a:ext cx="5486400" cy="40344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6995002, E 518581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pPr>
        <w:pStyle w:val="Heading1"/>
      </w:pPr>
      <w:r>
        <w:t>Fridlysta arter</w:t>
      </w:r>
    </w:p>
    <w:p>
      <w:r>
        <w:t>Följande fridlysta arter har sina livsmiljöer och växtplatser i den avverkningsanmälda skogen: doftticka (VU, §8).</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