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klagomål behandlar höga naturvärden i avverkningsanmälan A 22983-2024 i Bräcke kommun som inkom 2024-06-06 och omfattar 1,8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6991803, E 564552 i SWEREF 99 TM.</w:t>
      </w:r>
    </w:p>
    <w:p>
      <w:r>
        <w:t>I och inom 24 meter från avverkningsanmälan finns fynd av 19 naturvårdsarter, varav 13 är rödlistade, 3 är fridlysta, 17 är typiska (T) och 5 är signalarter (S): garnlav (VU, T), knärot (VU, T, §8), doftskinn (NT, T), kolflarnlav (NT, T), lunglav (NT, T), mörk kolflarnlav (NT), rosenticka (NT, T), rynkskinn (NT, T), skrovellav (NT, T), tretåig hackspett (NT, T, §4), ullticka (NT, T), vedskivlav (NT, T), vitgrynig nållav (NT), korallblylav (S, T), luddlav (S, T), mörk husmossa (S, T), vedticka (S, T), ögonpyrola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