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165-2018 i Krokom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