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38 naturvårdsarter, varav 18 är rödlistade, 11 är fridlysta, 31 är typiska (T) och 10 är signalarter (S): doftticka (VU, T, §8), garnlav (VU, T), granrotspindling (VU),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