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21847-2024 i Krokoms kommun</w:t>
      </w:r>
    </w:p>
    <w:p>
      <w:r>
        <w:t>Detta dokument behandlar höga naturvärden i avverkningsanmälan A 21847-2024 i Krokoms kommun. Denna avverkningsanmälan inkom 2024-05-31 och omfattar 7,2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och rödlistade arter.</w:t>
      </w:r>
    </w:p>
    <w:p>
      <w:pPr>
        <w:pStyle w:val="Heading1"/>
      </w:pPr>
      <w:r>
        <w:t>Naturvårdsarter</w:t>
      </w:r>
    </w:p>
    <w:p>
      <w:r>
        <w:t>I avverkningsanmälan har följande 30 naturvårdsarter hittats: skarptandad daggkåpa (EN), skuggnål (VU), smalskaftslav (VU), brunpudrad nållav (NT), dofttaggsvamp (NT), gammelgransskål (NT), garnlav (NT), granticka (NT), gränsticka (NT), kavernularia (NT), liten svartspik (NT), lunglav (NT), nordlig nållav (NT), rosenticka (NT), skogsfru (NT, §8), skrovellav (NT), tretåig hackspett (NT, §4), ullticka (NT), vitgrynig nållav (NT), grönkulla (S, §8), gulnål (S), korallblylav (S), korallrot (S, §8), kornig nållav (S), mörk husmossa (S), rostfläck (S), spindelblomster (S, §8), stuplav (S), svavelriska (S) och ögonpyrola (S). Av dessa är 19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247077"/>
            <wp:docPr id="1" name="Picture 1"/>
            <wp:cNvGraphicFramePr>
              <a:graphicFrameLocks noChangeAspect="1"/>
            </wp:cNvGraphicFramePr>
            <a:graphic>
              <a:graphicData uri="http://schemas.openxmlformats.org/drawingml/2006/picture">
                <pic:pic>
                  <pic:nvPicPr>
                    <pic:cNvPr id="0" name="A 21847-2024 karta.png"/>
                    <pic:cNvPicPr/>
                  </pic:nvPicPr>
                  <pic:blipFill>
                    <a:blip r:embed="rId16"/>
                    <a:stretch>
                      <a:fillRect/>
                    </a:stretch>
                  </pic:blipFill>
                  <pic:spPr>
                    <a:xfrm>
                      <a:off x="0" y="0"/>
                      <a:ext cx="5486400" cy="524707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7032033, E 447973 i SWEREF 99 TM.</w:t>
      </w:r>
    </w:p>
    <w:p>
      <w:r>
        <w:rPr>
          <w:b/>
        </w:rPr>
        <w:t>Brunpudrad nållav (NT)</w:t>
      </w:r>
      <w:r>
        <w:t xml:space="preserve"> är beroende av hög, jämn luftfuktighet och kan påträffas i fuktiga skogar av naturskogskaraktär, ofta i sumpgranskog eller andra sumpskogar. Arten är placerad högst upp i Skogsstyrelsens värdepyramid för bedömning av skog med höga naturvärden och förekomster bör undantas från skogsbruksåtgärder (SLU Artdatabanken, 2024; Nitare &amp; Skogsstyrelsen, 2019).</w:t>
      </w:r>
    </w:p>
    <w:p>
      <w:r>
        <w:rPr>
          <w:b/>
        </w:rPr>
        <w:t>Gränsticka (NT)</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Lokaler som hyser arten, speciellt i mellersta och södra Sverige, bör undantas från skogsbruk (SLU Artdatabanken, 2024; Nitare &amp; Skogsstyrelsen, 2019).</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rPr>
          <w:b/>
        </w:rPr>
        <w:t>Rosenticka (NT)</w:t>
      </w:r>
      <w:r>
        <w:t>,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(Nitare &amp; Skogsstyrelsen, 2019; SLU Artdatabanken, 2024).</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en sällsynt parasitsvamp med rödbruna apothecier, skrovellavsknapp </w:t>
      </w:r>
      <w:r>
        <w:rPr>
          <w:i/>
        </w:rPr>
        <w:t>Plectocarpon scrobiculatae</w:t>
      </w:r>
      <w:r>
        <w:t xml:space="preserve"> (EN) (SLU Artdatabanken, 2024; Nitare &amp; Skogsstyrelsen, 2019).</w:t>
      </w:r>
    </w:p>
    <w:p>
      <w:r>
        <w:rPr>
          <w:b/>
        </w:rPr>
        <w:t>Smalskaftslav (VU)</w:t>
      </w:r>
      <w:r>
        <w:t>, rödlistad som sårbar, påträffas i gamla barrskogar eller lövskogar med mycket hög och jämn luftfuktighet. Arten är placerad i toppen av Skogsstyrelsens värdepyramid för bedömning av skog med höga naturvärden och alla skogsbruksåtgärder som kan påverka hydrologi och fuktighetsförhållandena på eller i omedelbar närhet av växtplatserna, t.ex. utglesning eller slutavverkning, är ett hot. Samtliga förekomster bör skyddas tillsammans med väl tilltagna skyddszoner (Nitare &amp; Skogsstyrelsen, 2019; SLU Artdatabanken, 2024).</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(SLU Artdatabanken, 2024; Nitare &amp; Skogsstyrelsen, 2019).</w:t>
      </w:r>
    </w:p>
    <w:p>
      <w:pPr>
        <w:pStyle w:val="Heading1"/>
      </w:pPr>
      <w:r>
        <w:t>Fridlysta arter</w:t>
      </w:r>
    </w:p>
    <w:p>
      <w:r>
        <w:t>Följande fridlysta arter har sina livsmiljöer och växtplatser i den avverkningsanmälda skogen: skogsfru (NT, §8), tretåig hackspett (NT, §4), grönkulla (S, §8), korallrot (S, §8) och spindelblomster (S, §8).</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r>
        <w:br w:type="page"/>
      </w:r>
    </w:p>
    <w:p>
      <w:pPr>
        <w:pStyle w:val="Title"/>
      </w:pPr>
      <w:r>
        <w:t>BILAGA 1 –</w:t>
        <w:br/>
        <w:t>Fridlysta och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