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61459-2024 i Krokoms kommun</w:t>
      </w:r>
    </w:p>
    <w:p>
      <w:r>
        <w:t>Detta klagomål behandlar höga naturvärden i avverkningsanmälan A 61459-2024 i Krokoms kommun som inkom 2024-12-20 och omfattar 16,6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61459-2024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7071623, E 459541 i SWEREF 99 TM.</w:t>
      </w:r>
    </w:p>
    <w:p>
      <w:r>
        <w:t>I och inom 25 meter från avverkningsanmälan finns fynd av 19 naturvårdsarter, varav 7 är rödlistade, 6 är fridlysta, 14 är typiska (T) och 9 är signalarter (S): garnlav (VU, T), knottrig blåslav (NT, T), lunglav (NT, T), skrovellav (NT, T), tretåig hackspett (NT, T, §4), ullticka (NT, T), vitgrynig nållav (NT), bårdlav (S, T), gytterlav (S, T), korallrot (S, T, §8), kransrams (S, T), kärrkammossa (S, T), luddlav (S, T), mörk husmossa (S, T), stuplav (S, T), tvåblad (S, §8), vanlig groda (§6), brudsporre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