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7806-2024 i Krokoms kommun</w:t>
      </w:r>
    </w:p>
    <w:p>
      <w:r>
        <w:t>Detta klagomål behandlar höga naturvärden i avverkningsanmälan A 7806-2024 i Krokoms kommun som inkom 2024-02-26 och omfattar 112,0 ha.</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7806-2024 karta.png"/>
                    <pic:cNvPicPr/>
                  </pic:nvPicPr>
                  <pic:blipFill>
                    <a:blip r:embed="rId16"/>
                    <a:stretch>
                      <a:fillRect/>
                    </a:stretch>
                  </pic:blipFill>
                  <pic:spPr>
                    <a:xfrm>
                      <a:off x="0" y="0"/>
                      <a:ext cx="5486400" cy="44348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7075537, E 457456 i SWEREF 99 TM.</w:t>
      </w:r>
    </w:p>
    <w:p>
      <w:r>
        <w:t>I och inom 23 meter från avverkningsanmälan finns fynd av 41 naturvårdsarter, varav 21 är rödlistade, 8 är fridlysta, 24 är typiska (T) och 17 är signalarter (S): doftticka (VU, T, §8), garnlav (VU, T), gränsticka (VU, T), barkporlav (NT), Cheiromycina petri (NT), doftskinn (NT, T), gammelgransskål (NT, T), grå blåbärsfältmätare (NT), harticka (NT, T), knottrig blåslav (NT, T), liten svartspik (NT), luddfingersvamp (NT), lunglav (NT, T), nordlig nållav (NT), Rostania effusa (NT), rödbrun blekspik (NT, T), skrovellav (NT, T), talltita (NT, §4), tretåig hackspett (NT, T, §4), ullticka (NT, T), vitgrynig nållav (NT), bårdlav (S, T), grönkulla (S, T, §8), gytterlav (S, T), klotuffmossa (S), korallblylav (S, T), kransrams (S, T), källmossa (S), luddlav (S, T), mörk husmossa (S, T), nordlig tuffmossa (S), norrlandslav (S, T), skogshakmossa (S, T), stuplav (S, T), taggstjärnmossa (S), trådticka (S, T), tvåblad (S, §8), vedticka (S, T), brudsporre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