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35884-2025 i Krokoms kommun</w:t>
      </w:r>
    </w:p>
    <w:p>
      <w:r>
        <w:t>Denna tillsynsbegäran behandlar höga naturvärden i avverkningsanmälan A 35884-2025 i Krokoms kommun som inkom 2025-07-24 och omfattar 3,1 ha.</w:t>
      </w:r>
    </w:p>
    <w:p>
      <w:pPr>
        <w:pStyle w:val="Caption"/>
      </w:pPr>
      <w:r>
        <w:drawing>
          <wp:inline xmlns:a="http://schemas.openxmlformats.org/drawingml/2006/main" xmlns:pic="http://schemas.openxmlformats.org/drawingml/2006/picture">
            <wp:extent cx="5486400" cy="4502376"/>
            <wp:docPr id="1" name="Picture 1"/>
            <wp:cNvGraphicFramePr>
              <a:graphicFrameLocks noChangeAspect="1"/>
            </wp:cNvGraphicFramePr>
            <a:graphic>
              <a:graphicData uri="http://schemas.openxmlformats.org/drawingml/2006/picture">
                <pic:pic>
                  <pic:nvPicPr>
                    <pic:cNvPr id="0" name="A 35884-2025 karta.png"/>
                    <pic:cNvPicPr/>
                  </pic:nvPicPr>
                  <pic:blipFill>
                    <a:blip r:embed="rId16"/>
                    <a:stretch>
                      <a:fillRect/>
                    </a:stretch>
                  </pic:blipFill>
                  <pic:spPr>
                    <a:xfrm>
                      <a:off x="0" y="0"/>
                      <a:ext cx="5486400" cy="45023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7038979, E 445212 i SWEREF 99 TM.</w:t>
      </w:r>
    </w:p>
    <w:p>
      <w:r>
        <w:t>I avverkningsanmälan finns fynd av 6 naturvårdsarter, varav 2 är rödlistade, 3 är fridlysta, 5 är typiska (T) och 3 är signalarter (S): harticka (NT, T), tretåig hackspett (NT, T, §4), finbräken (S, T), stuplav (S, T), tvåblad (S, §8)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harticka (NT, T), tretåig hackspett (NT, T, §4), finbräken (S, T), stuplav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