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 och inom 25 meter från avverkningsanmälan finns fynd av 14 naturvårdsarter, varav 7 är rödlistade, 6 är fridlysta, 9 är typiska (T) och 5 är signalarter (S): grantickeporing (VU), fjällig taggsvamp s.str. (NT), harticka (NT, T), rosenticka (NT, T), tallticka (NT, T), tretåig hackspett (NT, T, §4), ullticka (NT, T), finbräken (S, T), flugblomster (S, §8), grönkulla (S, T, §8), tvåblad (S, §8), ögonpyrola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