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14 naturvårdsarter, varav 7 är rödlistade, 6 är fridlysta, 9 är typiska (T) och 5 är signalarter (S): grantickeporing (VU), fjällig taggsvamp s.str. (NT), harticka (NT, T), rosenticka (NT, T), tallticka (NT, T), tretåig hackspett (NT, T, §4), ullticka (NT, T), finbräken (S, T), flugblomster (S, §8), grönkulla (S, T, §8), tvåblad (S, §8), ögonpyrola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tallticka (NT, T), tretåig hackspett (NT, T, §4), ullticka (NT, T), finbräken (S, T), grönkulla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