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16548-2025 i Krokoms kommun</w:t>
      </w:r>
    </w:p>
    <w:p>
      <w:r>
        <w:t>Detta klagomål behandlar höga naturvärden i avverkningsanmälan A 16548-2025 i Krokoms kommun som inkom 2025-04-04 och omfattar 10,9 ha.</w:t>
      </w:r>
    </w:p>
    <w:p>
      <w:pPr>
        <w:pStyle w:val="Caption"/>
      </w:pPr>
      <w:r>
        <w:drawing>
          <wp:inline xmlns:a="http://schemas.openxmlformats.org/drawingml/2006/main" xmlns:pic="http://schemas.openxmlformats.org/drawingml/2006/picture">
            <wp:extent cx="5486400" cy="4560247"/>
            <wp:docPr id="1" name="Picture 1"/>
            <wp:cNvGraphicFramePr>
              <a:graphicFrameLocks noChangeAspect="1"/>
            </wp:cNvGraphicFramePr>
            <a:graphic>
              <a:graphicData uri="http://schemas.openxmlformats.org/drawingml/2006/picture">
                <pic:pic>
                  <pic:nvPicPr>
                    <pic:cNvPr id="0" name="A 16548-2025 karta.png"/>
                    <pic:cNvPicPr/>
                  </pic:nvPicPr>
                  <pic:blipFill>
                    <a:blip r:embed="rId16"/>
                    <a:stretch>
                      <a:fillRect/>
                    </a:stretch>
                  </pic:blipFill>
                  <pic:spPr>
                    <a:xfrm>
                      <a:off x="0" y="0"/>
                      <a:ext cx="5486400" cy="4560247"/>
                    </a:xfrm>
                    <a:prstGeom prst="rect"/>
                  </pic:spPr>
                </pic:pic>
              </a:graphicData>
            </a:graphic>
          </wp:inline>
        </w:drawing>
      </w:r>
    </w:p>
    <w:p>
      <w:pPr>
        <w:pStyle w:val="Caption"/>
        <w:spacing w:after="240"/>
      </w:pPr>
      <w:r>
        <w:t>Figur 1. Fyndplatser för naturvårdsarter inom 21 meter från avverkningsanmälan. Markörer utan svart kant är placerade på fyndplatsen. Markörer med svart kant är placerade vid sidan av fyndplatsen och har ett svart streck som visar fyndplatsens exakta position. Kartans mittpunktskoordinat är N 7079948, E 471623 i SWEREF 99 TM.</w:t>
      </w:r>
    </w:p>
    <w:p>
      <w:r>
        <w:t>Inom 21 meter från avverkningsanmälan finns fynd av 1 naturvårdsarter, varav 1 är rödlistad och 1 är typisk (T): liten aspgelélav (VU,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Liten aspgelélav (VU)</w:t>
      </w:r>
      <w:r>
        <w:t xml:space="preserve">, rödlistad som sårbar, växer på asp i halvöppna boreala blandskogar med hög och jämn luftfuktighet. Den omfattas av åtgärdsprogram (ÅGP) för hotade arter på asp i Norrland och är placerad i toppen av Skogsstyrelsens värdepyramid för bedömning av skog med höga naturvärden. Arten har ett mycket högt skyddsvärde då en mycket stor andel (mer än 90 %) av samtliga kända lokaler i världen finns i Sverige. Samtliga lokaler måste skyddas och inslaget av asp i skogsmark måste öka på lång sikt. Liten aspgelélav är typisk art för </w:t>
      </w:r>
      <w:r>
        <w:rPr>
          <w:i/>
        </w:rPr>
        <w:t>9010 Taiga</w:t>
      </w:r>
      <w:r>
        <w:t xml:space="preserve"> (Naturvårdsverket, 2010; Nitare &amp;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2026-10-12</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