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klagomål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41 naturvårdsarter, varav 22 är rödlistade, 6 är fridlysta, 20 är typiska (T) och 16 är signalarter (S): bitter taggsvamp (EN), garnlav (VU, T), läderdoftande fingersvamp (VU), stor odörspindling (VU), barrfagerspindling (NT), blå taggsvamp (NT, T), dofttaggsvamp (NT, T), fjällig taggsvamp s.str. (NT), grantaggsvamp (NT), harticka (NT, T), kryddspindling (NT, T), lunglav (NT, T), orange taggsvamp (NT, T), persiljespindling (NT), Phellodon dititomentosus (NT), rödfläckig zontaggsvamp (NT), skarp dropptaggsvamp (NT), skrovellav (NT, T), sotvaxskivling (NT), tretåig hackspett (NT, T, §4), ullticka (NT, T), äggvaxskivling (NT), bårdlav (S, T), diskvaxskivling (S), granriska (S), grönkulla (S, T, §8), kamjordstjärna (S), korallblylav (S, T), kransrams (S, T), luddlav (S, T), strimspindling (S), stuplav (S, T), svavelriska (S), tibast (S, T), trådfräken (S), trådticka (S, T), tvåblad (S, §8), zontaggsvamp (S),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