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26176-2026 i Krokoms kommun</w:t>
      </w:r>
    </w:p>
    <w:p>
      <w:r>
        <w:t>Denna tillsynsbegäran behandlar höga naturvärden i avverkningsanmälan A 26176-2026 i Krokoms kommun som inkom 2026-06-09 och omfattar 13,1 ha.</w:t>
      </w:r>
    </w:p>
    <w:p>
      <w:pPr>
        <w:pStyle w:val="Caption"/>
      </w:pPr>
      <w:r>
        <w:drawing>
          <wp:inline xmlns:a="http://schemas.openxmlformats.org/drawingml/2006/main" xmlns:pic="http://schemas.openxmlformats.org/drawingml/2006/picture">
            <wp:extent cx="5486400" cy="5181897"/>
            <wp:docPr id="1" name="Picture 1"/>
            <wp:cNvGraphicFramePr>
              <a:graphicFrameLocks noChangeAspect="1"/>
            </wp:cNvGraphicFramePr>
            <a:graphic>
              <a:graphicData uri="http://schemas.openxmlformats.org/drawingml/2006/picture">
                <pic:pic>
                  <pic:nvPicPr>
                    <pic:cNvPr id="0" name="A 26176-2026 karta.png"/>
                    <pic:cNvPicPr/>
                  </pic:nvPicPr>
                  <pic:blipFill>
                    <a:blip r:embed="rId16"/>
                    <a:stretch>
                      <a:fillRect/>
                    </a:stretch>
                  </pic:blipFill>
                  <pic:spPr>
                    <a:xfrm>
                      <a:off x="0" y="0"/>
                      <a:ext cx="5486400" cy="5181897"/>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7024631, E 481533 i SWEREF 99 TM.</w:t>
      </w:r>
    </w:p>
    <w:p>
      <w:r>
        <w:t>I och inom 1 meter från avverkningsanmälan finns fynd av 9 naturvårdsarter, varav 6 är rödlistade, 5 är fridlysta och 8 är typiska (T): garnlav (VU, T), knärot (VU, T, §8), koralltaggsvamp (NT, T), lavskrika (NT, T, §4), lunglav (NT, T), tretåig hackspett (NT, T, §4), blåsippa (T, §9), liljekonvalj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23 fyndplatser för knärot registrerade på Artportalen. Figur 2 visar gränserna för buffertzoner på 50 m, som behöver lämnas kring fyndplatserna för att knärotslokalerna inte ska försvinna vid en avverkning. Av det avverkningsanmälda området överlappar 7.89 ha med buffertzonerna och får av detta skäl inte avverkas.</w:t>
      </w:r>
    </w:p>
    <w:p>
      <w:pPr>
        <w:pStyle w:val="Caption"/>
      </w:pPr>
      <w:r>
        <w:drawing>
          <wp:inline xmlns:a="http://schemas.openxmlformats.org/drawingml/2006/main" xmlns:pic="http://schemas.openxmlformats.org/drawingml/2006/picture">
            <wp:extent cx="5486400" cy="6872761"/>
            <wp:docPr id="2" name="Picture 2"/>
            <wp:cNvGraphicFramePr>
              <a:graphicFrameLocks noChangeAspect="1"/>
            </wp:cNvGraphicFramePr>
            <a:graphic>
              <a:graphicData uri="http://schemas.openxmlformats.org/drawingml/2006/picture">
                <pic:pic>
                  <pic:nvPicPr>
                    <pic:cNvPr id="0" name="A 26176-2026 karta knärot.png"/>
                    <pic:cNvPicPr/>
                  </pic:nvPicPr>
                  <pic:blipFill>
                    <a:blip r:embed="rId17"/>
                    <a:stretch>
                      <a:fillRect/>
                    </a:stretch>
                  </pic:blipFill>
                  <pic:spPr>
                    <a:xfrm>
                      <a:off x="0" y="0"/>
                      <a:ext cx="5486400" cy="687276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7024631, E 481533 i SWEREF 99 TM.</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Liljekonvalj</w:t>
      </w:r>
      <w:r>
        <w:t xml:space="preserve"> är typisk art för </w:t>
      </w:r>
      <w:r>
        <w:rPr>
          <w:i/>
        </w:rPr>
        <w:t>9190 Näringsfattig ekskog</w:t>
      </w:r>
      <w:r>
        <w:t>. På liljekonvalj kan man hitta rostsvampen konvaljerost (NE)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koralltaggsvamp (NT, T), lavskrika (NT, T, §4), lunglav (NT, T), tretåig hackspett (NT, T, §4), blåsippa (T, §9) och liljekonvalj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