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57295-2022 i Krokoms kommun</w:t>
      </w:r>
    </w:p>
    <w:p>
      <w:r>
        <w:t>Denna tillsynsbegäran behandlar höga naturvärden i avverkningsanmälan A 57295-2022 i Krokoms kommun som inkom 2022-11-30 och omfattar 36,3 ha.</w:t>
      </w:r>
    </w:p>
    <w:p>
      <w:pPr>
        <w:pStyle w:val="Caption"/>
      </w:pPr>
      <w:r>
        <w:drawing>
          <wp:inline xmlns:a="http://schemas.openxmlformats.org/drawingml/2006/main" xmlns:pic="http://schemas.openxmlformats.org/drawingml/2006/picture">
            <wp:extent cx="5354176" cy="5724000"/>
            <wp:docPr id="1" name="Picture 1"/>
            <wp:cNvGraphicFramePr>
              <a:graphicFrameLocks noChangeAspect="1"/>
            </wp:cNvGraphicFramePr>
            <a:graphic>
              <a:graphicData uri="http://schemas.openxmlformats.org/drawingml/2006/picture">
                <pic:pic>
                  <pic:nvPicPr>
                    <pic:cNvPr id="0" name="A 57295-2022 karta.png"/>
                    <pic:cNvPicPr/>
                  </pic:nvPicPr>
                  <pic:blipFill>
                    <a:blip r:embed="rId16"/>
                    <a:stretch>
                      <a:fillRect/>
                    </a:stretch>
                  </pic:blipFill>
                  <pic:spPr>
                    <a:xfrm>
                      <a:off x="0" y="0"/>
                      <a:ext cx="53541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7053382, E 447539 i SWEREF 99 TM.</w:t>
      </w:r>
    </w:p>
    <w:p>
      <w:r>
        <w:t>I avverkningsanmälan finns fynd av 4 naturvårdsarter, varav 4 är rödlistade, 2 är fridlysta och 4 är typiska (T): doftticka (VU, T, §8), garnlav (VU,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