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29997-2024 i Krokoms kommun</w:t>
      </w:r>
    </w:p>
    <w:p>
      <w:r>
        <w:t>Denna tillsynsbegäran behandlar höga naturvärden i avverkningsanmälan A 29997-2024 i Krokoms kommun som inkom 2024-07-15 och omfattar 26,3 ha.</w:t>
      </w:r>
    </w:p>
    <w:p>
      <w:pPr>
        <w:pStyle w:val="Caption"/>
      </w:pPr>
      <w:r>
        <w:drawing>
          <wp:inline xmlns:a="http://schemas.openxmlformats.org/drawingml/2006/main" xmlns:pic="http://schemas.openxmlformats.org/drawingml/2006/picture">
            <wp:extent cx="5486400" cy="5301635"/>
            <wp:docPr id="1" name="Picture 1"/>
            <wp:cNvGraphicFramePr>
              <a:graphicFrameLocks noChangeAspect="1"/>
            </wp:cNvGraphicFramePr>
            <a:graphic>
              <a:graphicData uri="http://schemas.openxmlformats.org/drawingml/2006/picture">
                <pic:pic>
                  <pic:nvPicPr>
                    <pic:cNvPr id="0" name="A 29997-2024 karta.png"/>
                    <pic:cNvPicPr/>
                  </pic:nvPicPr>
                  <pic:blipFill>
                    <a:blip r:embed="rId16"/>
                    <a:stretch>
                      <a:fillRect/>
                    </a:stretch>
                  </pic:blipFill>
                  <pic:spPr>
                    <a:xfrm>
                      <a:off x="0" y="0"/>
                      <a:ext cx="5486400" cy="53016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7075149, E 467474 i SWEREF 99 TM.</w:t>
      </w:r>
    </w:p>
    <w:p>
      <w:r>
        <w:t>I avverkningsanmälan finns fynd av 9 naturvårdsarter, varav 4 är rödlistade, 1 är fridlyst, 6 är typiska (T) och 5 är signalarter (S): skogsalm (EN), garnlav (VU, T), klofibbla (NT), stickelfrö (NT), dvärghäxört (S, T), myskmadra (S, T), spindelblomster (S, T, §8), strutbräken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dvärghäxört (S, T), myskmadra (S, T), spindelblomster (S, T, §8), strutbräken (S, T) och svart trolldruva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