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34678-2022 i Krokoms kommun</w:t>
      </w:r>
    </w:p>
    <w:p>
      <w:r>
        <w:t>Denna tillsynsbegäran behandlar höga naturvärden i avverkningsanmälan A 34678-2022 i Krokoms kommun som inkom 2022-08-22 och omfattar 16,9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34678-2022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7029164, E 478391 i SWEREF 99 TM.</w:t>
      </w:r>
    </w:p>
    <w:p>
      <w:r>
        <w:t>I och inom 24 meter från avverkningsanmälan finns fynd av 13 naturvårdsarter, varav 10 är rödlistade, 2 är fridlysta, 5 är typiska (T) och 1 är signalart (S): goliatmusseron (VU, T), skrovlig taggsvamp (VU), ulltickeporing (VU), blå taggsvamp (NT, T), doftskinn (NT, T), grantaggsvamp (NT), nordlig nållav (NT), otandad grynsnäcka (NT), stjärntagging (NT, T), sumpäggsvamp (NT), stor aspticka (S, T), myrbräcka (§7) och dubbelnycklar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Sumpäggsvamp (NT) </w:t>
      </w:r>
      <w:r>
        <w:t>växer i torv och bland mossa på fuktig mark i rikkärr, källkärr och slåttrade marker. En fortlöpande minskning pågår p.g.a. upphörd hävd och dränage vid framdragande av skogsbilvägar och dikning av skogsmark.  Arten är upptagen i Naturvårdsverkets riktade åtgärdsprogram för bevarande av rikkärr (2006–2010). Sumpäggsvamp är globalt rödlistad som sårbar (VU) vilket innebär att Sverige har ett internationellt ansvar för arten (SLU Artdatabanken, 2026; IUCN,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blå taggsvamp (NT, T), doftskinn (NT, T), stjärntagging (NT,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