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18460-2023 i Krokoms kommun</w:t>
      </w:r>
    </w:p>
    <w:p>
      <w:r>
        <w:t>Denna tillsynsbegäran behandlar höga naturvärden i avverkningsanmälan A 18460-2023 i Krokoms kommun som inkom 2023-04-25 och omfattar 23,8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7087876, E 450196 i SWEREF 99 TM.</w:t>
      </w:r>
    </w:p>
    <w:p>
      <w:r>
        <w:t>I och inom 25 meter från avverkningsanmälan finns fynd av 10 naturvårdsarter, varav 8 är rödlistade, 1 är fridlyst, 10 är typiska (T) och 2 är signalarter (S): garnlav (VU, T), vitskaftad svartspik (VU, T), brunpudrad nållav (NT, T), gammelgransskål (NT, T), harticka (NT, T), rödbrun blekspik (NT, T), tretåig hackspett (NT, T, §4), ullticka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harticka (NT, T), rödbrun blekspik (NT, T), tretåig hackspett (NT, T, §4), ullticka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