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3005-2022 i Krokoms kommun</w:t>
      </w:r>
    </w:p>
    <w:p>
      <w:r>
        <w:t>Denna tillsynsbegäran behandlar höga naturvärden i avverkningsanmälan A 3005-2022 i Krokoms kommun som inkom 2022-01-20 och omfattar 6,1 ha.</w:t>
      </w:r>
    </w:p>
    <w:p>
      <w:pPr>
        <w:pStyle w:val="Caption"/>
      </w:pPr>
      <w:r>
        <w:drawing>
          <wp:inline xmlns:a="http://schemas.openxmlformats.org/drawingml/2006/main" xmlns:pic="http://schemas.openxmlformats.org/drawingml/2006/picture">
            <wp:extent cx="5486400" cy="5057150"/>
            <wp:docPr id="1" name="Picture 1"/>
            <wp:cNvGraphicFramePr>
              <a:graphicFrameLocks noChangeAspect="1"/>
            </wp:cNvGraphicFramePr>
            <a:graphic>
              <a:graphicData uri="http://schemas.openxmlformats.org/drawingml/2006/picture">
                <pic:pic>
                  <pic:nvPicPr>
                    <pic:cNvPr id="0" name="A 3005-2022 karta.png"/>
                    <pic:cNvPicPr/>
                  </pic:nvPicPr>
                  <pic:blipFill>
                    <a:blip r:embed="rId16"/>
                    <a:stretch>
                      <a:fillRect/>
                    </a:stretch>
                  </pic:blipFill>
                  <pic:spPr>
                    <a:xfrm>
                      <a:off x="0" y="0"/>
                      <a:ext cx="5486400" cy="505715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7034116, E 447023 i SWEREF 99 TM.</w:t>
      </w:r>
    </w:p>
    <w:p>
      <w:r>
        <w:t>I och inom 22 meter från avverkningsanmälan finns fynd av 12 naturvårdsarter, varav 9 är rödlistade, 2 är fridlysta, 6 är typiska (T) och 3 är signalarter (S): garnlav (VU, T), läderdoftande fingersvamp (VU), Skeletocutis delicata (VU), smalskaftslav (VU), taggfingersvamp (VU), skrovellav (NT, T), tretåig hackspett (NT, T, §4), ullticka (NT, T), äggvaxskivling (NT), korallblylav (S, T), spindelblomster (S, T, §8)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i/>
        </w:rPr>
        <w:t>Skeletocutis delicata</w:t>
      </w:r>
      <w:r>
        <w:rPr>
          <w:b/>
        </w:rPr>
        <w:t xml:space="preserve"> (VU)</w:t>
      </w:r>
      <w:r>
        <w:t xml:space="preserve"> orsakar vitröta på granved och påträffas främst på och intill gamla fruktkroppar av ullticka (NT). Arten verkar föredra sluten skog med grova lågor och en fortgående minskning på nationell nivå bedöms pågå, huvudsakligen p.g.a. slutavverkning av äldre barrskog, samt att uppväxande brukade skogar innehåller påtagligt mindre mängd död ved av lämplig kvalitet (SLU Artdatabanken, 2026).</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skrovellav (NT, T), tretåig hackspett (NT, T, §4), ullticka (NT, T), korallblylav (S, T) och spindelblomster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