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 och inom 25 meter från avverkningsanmälan finns fynd av 15 naturvårdsarter, varav 8 är rödlistade, 7 är fridlysta, 9 är typiska (T) och 5 är signalarter (S): grantickeporing (VU), fjällig taggsvamp s.str. (NT), harticka (NT, T), rosenticka (NT, T), tallticka (NT, T), talltita (NT, §4), tretåig hackspett (NT, T, §4), ullticka (NT, T), finbräken (S, T), flugblomster (S, §8), grönkulla (S, T, §8), tvåblad (S, §8), ögonpyrola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