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 och inom 25 meter från avverkningsanmälan finns fynd av 15 naturvårdsarter, varav 8 är rödlistade, 7 är fridlysta, 9 är typiska (T) och 5 är signalarter (S): grantickeporing (VU), fjällig taggsvamp s.str. (NT), harticka (NT, T), rosenticka (NT, T), tallticka (NT, T), talltita (NT, §4), tretåig hackspett (NT, T, §4), ullticka (NT, T), finbräken (S, T), flugblomster (S, §8), grönkulla (S, T, §8), tvåblad (S, §8), ögonpyrola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tallticka (NT, T), tretåig hackspett (NT, T, §4), ullticka (NT, T), finbräken (S, T), grönkulla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