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klagomål behandlar höga naturvärden i avverkningsanmälan A 52647-2023 i Krokoms kommun som inkom 2023-10-20 och omfattar 32,7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7055239, E 446187 i SWEREF 99 TM.</w:t>
      </w:r>
    </w:p>
    <w:p>
      <w:r>
        <w:t>I och inom 16 meter från avverkningsanmälan finns fynd av 17 naturvårdsarter, varav 16 är rödlistade, 2 är fridlysta, 13 är typiska (T) och 1 är signalart (S): blackticka (VU), doftticka (VU, T, §8), ulltickeporing (VU), brunpudrad nållav (NT, T), doftskinn (NT, T), harticka (NT, T), liten svartspik (NT), lunglav (NT, T), rosenticka (NT, T), rynkskinn (NT, T), rödbrun blekspik (NT, T), stiftgelélav (NT, T), tretåig hackspett (NT, T, §4), ullticka (NT, T), violmussling (NT, T), vitgrynig nållav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