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4849-2024 i Krokoms kommun</w:t>
      </w:r>
    </w:p>
    <w:p>
      <w:r>
        <w:t>Denna tillsynsbegäran behandlar höga naturvärden i samrådsanmälan S 4849-2024 i Krokoms kommun som inkom 2024-11-20 och omfattar 10,5 ha.</w:t>
      </w:r>
    </w:p>
    <w:p>
      <w:pPr>
        <w:pStyle w:val="Caption"/>
      </w:pPr>
      <w:r>
        <w:drawing>
          <wp:inline xmlns:a="http://schemas.openxmlformats.org/drawingml/2006/main" xmlns:pic="http://schemas.openxmlformats.org/drawingml/2006/picture">
            <wp:extent cx="5486400" cy="5608948"/>
            <wp:docPr id="1" name="Picture 1"/>
            <wp:cNvGraphicFramePr>
              <a:graphicFrameLocks noChangeAspect="1"/>
            </wp:cNvGraphicFramePr>
            <a:graphic>
              <a:graphicData uri="http://schemas.openxmlformats.org/drawingml/2006/picture">
                <pic:pic>
                  <pic:nvPicPr>
                    <pic:cNvPr id="0" name="S 4849-2024 karta.png"/>
                    <pic:cNvPicPr/>
                  </pic:nvPicPr>
                  <pic:blipFill>
                    <a:blip r:embed="rId16"/>
                    <a:stretch>
                      <a:fillRect/>
                    </a:stretch>
                  </pic:blipFill>
                  <pic:spPr>
                    <a:xfrm>
                      <a:off x="0" y="0"/>
                      <a:ext cx="5486400" cy="5608948"/>
                    </a:xfrm>
                    <a:prstGeom prst="rect"/>
                  </pic:spPr>
                </pic:pic>
              </a:graphicData>
            </a:graphic>
          </wp:inline>
        </w:drawing>
      </w:r>
    </w:p>
    <w:p>
      <w:pPr>
        <w:pStyle w:val="Caption"/>
        <w:spacing w:after="240"/>
      </w:pPr>
      <w:r>
        <w:t>Figur 1. Fyndplatser för naturvårdsarter i och inom 12 meter från samrådsanmälan. Markörer utan svart kant är placerade på fyndplatsen. Markörer med svart kant är placerade vid sidan av fyndplatsen och har ett svart streck som visar fyndplatsens exakta position. Kartans mittpunktskoordinat är N 7019980, E 486563 i SWEREF 99 TM.</w:t>
      </w:r>
    </w:p>
    <w:p>
      <w:r>
        <w:t>I och inom 12 meter från samrådsanmälan finns fynd av 9 naturvårdsarter, varav 8 är rödlistade och 5 är typiska (T): blackticka (VU), ulltickeporing (VU), gultoppig fingersvamp (NT), orange taggsvamp (NT, T), persiljespindling (NT), rosenticka (NT, T), rynkskinn (NT, T), ullticka (NT, T) och sälg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Persiljespindling (NT)</w:t>
      </w:r>
      <w:r>
        <w:t xml:space="preserve"> bildar mykorrhiza med tall, gran och bok i ängsgranskog, kalktallskog och i ängsbokskog på rikare mark. Minskningstakten uppgår till 15 % inom 50 år och bedöms vara nära gränsvärdet för Sårbar (VU). (A2c+3c+4c). Persiljespindlingen hotas av avverkningar och är särskilt känslig eftersom den är knuten till äldre, produktiv barrskog, d.v.s. en skogstyp som är en bristvara i skyddade områden i Sverige och som samtidigt försvinner i snabb takt genom slutavverkningar. Skyddet för äldre ört- och kalkrika barrskogar med trädkontinuitet måste öka och oskyddade bokskogar med persiljespindling måste få ett formellt skydd i form av biotopskydd eller naturreservat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Sälg </w:t>
      </w:r>
      <w:r>
        <w:t xml:space="preserve">är typisk art för </w:t>
      </w:r>
      <w:r>
        <w:rPr>
          <w:i/>
        </w:rPr>
        <w:t xml:space="preserve">9040 Fjällbjörkskog </w:t>
      </w:r>
      <w:r>
        <w:t>(SLU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orange taggsvamp (NT, T), rosenticka (NT, T), rynkskinn (NT, T), ullticka (NT, T) och sälg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