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23499-2025 i Krokoms kommun</w:t>
      </w:r>
    </w:p>
    <w:p>
      <w:r>
        <w:t>Denna tillsynsbegäran behandlar höga naturvärden i avverkningsanmälan A 23499-2025 i Krokoms kommun som inkom 2025-05-15 och omfattar 4,6 ha.</w:t>
      </w:r>
    </w:p>
    <w:p>
      <w:pPr>
        <w:pStyle w:val="Caption"/>
      </w:pPr>
      <w:r>
        <w:drawing>
          <wp:inline xmlns:a="http://schemas.openxmlformats.org/drawingml/2006/main" xmlns:pic="http://schemas.openxmlformats.org/drawingml/2006/picture">
            <wp:extent cx="5486400" cy="4616567"/>
            <wp:docPr id="1" name="Picture 1"/>
            <wp:cNvGraphicFramePr>
              <a:graphicFrameLocks noChangeAspect="1"/>
            </wp:cNvGraphicFramePr>
            <a:graphic>
              <a:graphicData uri="http://schemas.openxmlformats.org/drawingml/2006/picture">
                <pic:pic>
                  <pic:nvPicPr>
                    <pic:cNvPr id="0" name="A 23499-2025 karta.png"/>
                    <pic:cNvPicPr/>
                  </pic:nvPicPr>
                  <pic:blipFill>
                    <a:blip r:embed="rId16"/>
                    <a:stretch>
                      <a:fillRect/>
                    </a:stretch>
                  </pic:blipFill>
                  <pic:spPr>
                    <a:xfrm>
                      <a:off x="0" y="0"/>
                      <a:ext cx="5486400" cy="46165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7013087, E 476228 i SWEREF 99 TM.</w:t>
      </w:r>
    </w:p>
    <w:p>
      <w:r>
        <w:t>I och inom 23 meter från avverkningsanmälan finns fynd av 14 naturvårdsarter, varav 3 är rödlistade, 4 är fridlysta, 8 är typiska (T) och 10 är signalarter (S): frösöstarr (VU), kalkbräken (NT), mindre hackspett (NT, T, §4), brandmusseron (S), finbräken (S, T), skogsknipprot (S, T, §8), svart trolldruva (S, T), svavelriska (S), tibast (S, T), trådfräken (S), tvåblad (S, §8), underviol (S, T), ögonpyrola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finbräken (S, T), skogsknipprot (S, T, §8), svart trolldruva (S, T), tibast (S, T), underviol (S, T),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