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41 naturvårdsarter, varav 22 är rödlistade, 6 är fridlysta, 20 är typiska (T) och 16 är signalarter (S): bitter taggsvamp (EN), garnlav (VU, T), läderdoftande fingersvamp (VU), stor odörspindling (VU), barrfagerspindling (NT), blå taggsvamp (NT, T), dofttaggsvamp (NT, T), fjällig taggsvamp s.str. (NT), grantaggsvamp (NT), harticka (NT, T), kryddspindling (NT, T), lunglav (NT, T), orange taggsvamp (NT, T), persiljespindling (NT), Phellodon dititomentosus (NT), rödfläckig zontaggsvamp (NT), skarp dropptaggsvamp (NT), skrovellav (NT, T), sotvaxskivling (NT), tretåig hackspett (NT, T, §4), ullticka (NT, T), äggvaxskivling (NT), bårdlav (S, T), diskvaxskivling (S), granriska (S), grönkulla (S, T, §8), kamjordstjärna (S), korallblylav (S, T), kransrams (S, T), luddlav (S, T), strimspindling (S), stuplav (S, T), svavelriska (S), tibast (S, T), trådfräken (S), trådticka (S, T), tvåblad (S, §8),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kryddspindling (NT, T), lunglav (NT, T), orange taggsvamp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