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36995-2025 i Krokoms kommun</w:t>
      </w:r>
    </w:p>
    <w:p>
      <w:r>
        <w:t>Detta dokument behandlar höga naturvärden i avverkningsanmälan A 36995-2025 i Krokoms kommun som inkom 2025-08-05 och omfattar 8,1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353757" cy="5688000"/>
            <wp:docPr id="1" name="Picture 1"/>
            <wp:cNvGraphicFramePr>
              <a:graphicFrameLocks noChangeAspect="1"/>
            </wp:cNvGraphicFramePr>
            <a:graphic>
              <a:graphicData uri="http://schemas.openxmlformats.org/drawingml/2006/picture">
                <pic:pic>
                  <pic:nvPicPr>
                    <pic:cNvPr id="0" name="A 36995-2025 karta.png"/>
                    <pic:cNvPicPr/>
                  </pic:nvPicPr>
                  <pic:blipFill>
                    <a:blip r:embed="rId16"/>
                    <a:stretch>
                      <a:fillRect/>
                    </a:stretch>
                  </pic:blipFill>
                  <pic:spPr>
                    <a:xfrm>
                      <a:off x="0" y="0"/>
                      <a:ext cx="5353757"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7094544, E 468757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(VU, T), dvärgbägarlav (NT, T), nordtagging (NT), skrovellav (NT, T) och tretåig hackspett (NT, T, §4). Av dessa är 5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