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51148-2024 i Krokoms kommun</w:t>
      </w:r>
    </w:p>
    <w:p>
      <w:r>
        <w:t>Detta klagomål behandlar höga naturvärden i avverkningsanmälan A 51148-2024 i Krokoms kommun som inkom 2024-11-07 och omfattar 21,9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51148-2024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7015756, E 471376 i SWEREF 99 TM.</w:t>
      </w:r>
    </w:p>
    <w:p>
      <w:r>
        <w:t>I och inom 21 meter från avverkningsanmälan finns fynd av 25 naturvårdsarter, varav 19 är rödlistade, 6 är fridlysta, 14 är typiska (T) och 4 är signalarter (S): blackticka (VU), garnlav (VU, T), gränsticka (VU, T), knärot (VU, T, §8), smalskaftslav (VU), flattoppad klubbsvamp (NT), grantaggsvamp (NT), gultoppig fingersvamp (NT), lunglav (NT, T), orange taggsvamp (NT, T), persiljespindling (NT), rosenticka (NT, T), rynkskinn (NT, T), såpfingersvamp (NT), tretåig hackspett (NT, T, §4), ullticka (NT, T), vitgrynig nållav (NT), vårärt (NT, T), äggvaxskivling (NT), spindelblomster (S, T, §8), stuplav (S, T), svavelriska (S), tvåblad (S, §8),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7765284"/>
            <wp:docPr id="2" name="Picture 2"/>
            <wp:cNvGraphicFramePr>
              <a:graphicFrameLocks noChangeAspect="1"/>
            </wp:cNvGraphicFramePr>
            <a:graphic>
              <a:graphicData uri="http://schemas.openxmlformats.org/drawingml/2006/picture">
                <pic:pic>
                  <pic:nvPicPr>
                    <pic:cNvPr id="0" name="A 51148-2024 karta knärot.png"/>
                    <pic:cNvPicPr/>
                  </pic:nvPicPr>
                  <pic:blipFill>
                    <a:blip r:embed="rId17"/>
                    <a:stretch>
                      <a:fillRect/>
                    </a:stretch>
                  </pic:blipFill>
                  <pic:spPr>
                    <a:xfrm>
                      <a:off x="0" y="0"/>
                      <a:ext cx="5486400" cy="77652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7015756, E 471376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