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4978-2021 i Krokoms kommun</w:t>
      </w:r>
    </w:p>
    <w:p>
      <w:r>
        <w:t>Detta klagomål behandlar höga naturvärden i samrådsanmälan S 4978-2021 i Krokoms kommun som inkom 2021-08-11 och omfattar 35,7 ha.</w:t>
      </w:r>
    </w:p>
    <w:p>
      <w:pPr>
        <w:pStyle w:val="Caption"/>
      </w:pPr>
      <w:r>
        <w:drawing>
          <wp:inline xmlns:a="http://schemas.openxmlformats.org/drawingml/2006/main" xmlns:pic="http://schemas.openxmlformats.org/drawingml/2006/picture">
            <wp:extent cx="5314861" cy="5724000"/>
            <wp:docPr id="1" name="Picture 1"/>
            <wp:cNvGraphicFramePr>
              <a:graphicFrameLocks noChangeAspect="1"/>
            </wp:cNvGraphicFramePr>
            <a:graphic>
              <a:graphicData uri="http://schemas.openxmlformats.org/drawingml/2006/picture">
                <pic:pic>
                  <pic:nvPicPr>
                    <pic:cNvPr id="0" name="S 4978-2021 karta.png"/>
                    <pic:cNvPicPr/>
                  </pic:nvPicPr>
                  <pic:blipFill>
                    <a:blip r:embed="rId16"/>
                    <a:stretch>
                      <a:fillRect/>
                    </a:stretch>
                  </pic:blipFill>
                  <pic:spPr>
                    <a:xfrm>
                      <a:off x="0" y="0"/>
                      <a:ext cx="5314861" cy="5724000"/>
                    </a:xfrm>
                    <a:prstGeom prst="rect"/>
                  </pic:spPr>
                </pic:pic>
              </a:graphicData>
            </a:graphic>
          </wp:inline>
        </w:drawing>
      </w:r>
    </w:p>
    <w:p>
      <w:pPr>
        <w:pStyle w:val="Caption"/>
        <w:spacing w:after="240"/>
      </w:pPr>
      <w:r>
        <w:t>Figur 1. Fyndplatser för naturvårdsarter i och inom 25 meter från samrådsanmälan. Markörer utan svart kant är placerade på fyndplatsen. Markörer med svart kant är placerade vid sidan av fyndplatsen har ett svart streck som visar fyndplatsens exakta position. Kartans mittpunktskoordinat är N 7062456, E 481716 i SWEREF 99 TM.</w:t>
      </w:r>
    </w:p>
    <w:p>
      <w:r>
        <w:t>I och inom 25 meter från samrådsanmälan finns fynd av 31 naturvårdsarter, varav 20 är rödlistade, 3 är fridlysta, 17 är typiska (T) och 10 är signalarter (S): brandtaggsvamp (EN), sotbandad spindling (EN), garnlav (VU, T), grangråticka (VU, T), knärot (VU, T, §8), läderdoftande fingersvamp (VU), stor odörspindling (VU), barrfagerspindling (NT), barrviolspindling (NT), blå taggsvamp (NT, T), fjällig taggsvamp s.str. (NT), gultoppig fingersvamp (NT), kryddspindling (NT, T), lunglav (NT, T), orange taggsvamp (NT, T), persiljespindling (NT), skrovellav (NT, T), ullticka (NT, T), vedtrappmossa (NT, T), äggvaxskivling (NT), bårdlav (S, T), finbräken (S, T), granriska (S), guckusko (S, T, §7), kamjordstjärna (S), strimspindling (S), stuplav (S, T), svavelriska (S), trådticka (S, T), underviol (S, T) och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 xml:space="preserve">Brandtaggsvamp (EN) </w:t>
      </w:r>
      <w:r>
        <w:t>är en sällsynt och starkt hotad svamp som bildar mykorrhiza med gran i äldre barrskogar med lång kontinuitet, främst på kalkrik eller annan basiskt påverkad mark. Arten är placerad högst upp i Skogsstyrelsens värdepyramid för bedömning av skog med höga naturvärden och hotas främst av avverkning av kalkpåverkad barrskog. Den tål inte en slutavverkning utan kräver ett kontinuerligt äldre trädskikt med gran. Kalkpåverkade barrskogar med lång kontinuitet, även små områden, har ett mycket högt skyddsvärde och bör i största möjliga utsträckning undantas från trakthyggesbruk. Slutavverkning, kraftig gallring och skogsmarksgödsling måste helt undvikas, liksom körning med tunga maskiner. Lokalerna bör bevakas, följas upp och skyddas formellt (SLU Artdatabanken, 2026; Nitare &amp; Skogsstyrelsen, 2019).</w:t>
      </w:r>
    </w:p>
    <w:p>
      <w:r>
        <w:rPr>
          <w:b/>
        </w:rPr>
        <w:t>Sotbandad spindling (EN)</w:t>
      </w:r>
      <w:r>
        <w:t xml:space="preserve"> är en starkt hotad art som bildar mykorrhiza med gran, möjligen även med tall, i äldre örtrik barrskog, gärna grandominerad kalkbarrskog på torr till frisk mark. Arten är placerad högst upp i Skogsstyrelsens värdepyramid för bedömning av skog med höga naturvärden och tål inte kalavverkning eller andra mer radikala ingrepp i växtplatsernas miljö. Kända växtplatser bör tills vidare undantas från skogsbruk (SLU Artdatabanken, 2026;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Grangråticka (VU)</w:t>
      </w:r>
      <w:r>
        <w:t xml:space="preserve"> bildar mykorrhiza med gran och påträffas på kalkrik mark i örtrika granskogar med t.ex. blåsippa, harsyra och ekorrbär i fältskiktet. Arten är beroende av långvarig kontinuitet av äldre gran och tål ingen slutavverkning (kalhuggning). Lokaler med grangråticka är alltid skyddsvärda och bör skötas med stor varsamhet. Grangråticka är typisk art för </w:t>
      </w:r>
      <w:r>
        <w:rPr>
          <w:i/>
        </w:rPr>
        <w:t>9050 Näringsrik granskog</w:t>
      </w:r>
      <w:r>
        <w:t xml:space="preserve"> (SLU Artdatabanken, 2024;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2 fyndplatser för knärot registrerade på Artportalen. Figur 2 visar gränserna för buffertzoner på 50 m, som behöver lämnas kring fyndplatserna för att knärotslokalerna inte ska försvinna vid en avverkning. Av det samrådsanmälda området överlappar 0.34 ha med buffertzonerna och får av detta skäl inte avverkas.</w:t>
      </w:r>
    </w:p>
    <w:p>
      <w:pPr>
        <w:pStyle w:val="Caption"/>
      </w:pPr>
      <w:r>
        <w:drawing>
          <wp:inline xmlns:a="http://schemas.openxmlformats.org/drawingml/2006/main" xmlns:pic="http://schemas.openxmlformats.org/drawingml/2006/picture">
            <wp:extent cx="5486400" cy="8634626"/>
            <wp:docPr id="2" name="Picture 2"/>
            <wp:cNvGraphicFramePr>
              <a:graphicFrameLocks noChangeAspect="1"/>
            </wp:cNvGraphicFramePr>
            <a:graphic>
              <a:graphicData uri="http://schemas.openxmlformats.org/drawingml/2006/picture">
                <pic:pic>
                  <pic:nvPicPr>
                    <pic:cNvPr id="0" name="S 4978-2021 karta knärot.png"/>
                    <pic:cNvPicPr/>
                  </pic:nvPicPr>
                  <pic:blipFill>
                    <a:blip r:embed="rId17"/>
                    <a:stretch>
                      <a:fillRect/>
                    </a:stretch>
                  </pic:blipFill>
                  <pic:spPr>
                    <a:xfrm>
                      <a:off x="0" y="0"/>
                      <a:ext cx="5486400" cy="8634626"/>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7062456, E 481716 i SWEREF 99 TM.</w:t>
      </w:r>
    </w:p>
    <w:p>
      <w:r>
        <w:rPr>
          <w:b/>
        </w:rPr>
        <w:t xml:space="preserve">Läderdoftande fingersvamp (VU) </w:t>
      </w:r>
      <w:r>
        <w:t>bildar mykorrhiza med gran i örtrik äldre barrskog, ofta på kalkrik mark. Den har en speciell doft som kan påminna om nytt skoläder (skoaffär), därav det svenska namnet. Den totala populationen i landet bedöms ändå ha minskat starkt och fortsatt kommer att minska då arten är knuten till en bördig äldre kalkgranskogsmiljö som successivt avverkas och där få områden alltjämt är formellt skyddade. All form av hårdhänt skogsavverkning på eller i närheten av växtplatsen missgynnar arten. Artens huvudsakliga koppling till produktiva äldre granskogar med hög bonitet gör den särskilt utsatt för slutavverkning. Samtliga lokaler bör undantas från rationellt skogsbruk och få ett områdesskydd (SLU Artdatabanken, 2024; Nitare &amp; Skogsstyrelsen, 2019).</w:t>
      </w:r>
    </w:p>
    <w:p>
      <w:r>
        <w:rPr>
          <w:b/>
        </w:rPr>
        <w:t xml:space="preserve">Stor odörspindling (VU) </w:t>
      </w:r>
      <w:r>
        <w:t>bildar mykorrhiza med tall och gran i kalktallskog och ängsgranskog, främst i äldre kalkbarrskog. En fortlöpande minskning bedöms pågå p.g.a. slutavverkningar av äldre kontinuitetsbarrskog. Har uppenbart svårt att återetableras efter avverkning. Kända växtplatser bör inte utsättas för omfattande huggningar eller andra kraftiga störningar som förändrar miljön (SLU Artdatabanken, 2025).</w:t>
      </w:r>
    </w:p>
    <w:p>
      <w:r>
        <w:rPr>
          <w:b/>
        </w:rPr>
        <w:t>Barrfagerspindling (NT)</w:t>
      </w:r>
      <w:r>
        <w:t xml:space="preserve"> bildar mykorrhiza med gran, möjligen också med tall, i äldre kalkbarrskog. Den totala populationen i landet har minskat och bedöms fortsätta minska till följd av avverkning av äldre kalkbarrskog. Arten har begränsad förmåga att återetablera sig efter slutavverkning eller andra storskaliga skogsbruksåtgärder, och det finns inga indikationer på att den långsiktigt kan etablera eller reproducera sig i bestånd som brukas med trakthyggesmetoder, markberedning, gödsling eller förädlat plantmaterial. Minskningstakten för den svenska populationen bedöms vara nära gränsvärdet för Sårbar (VU) (SLU Artdatabanken, 2026).</w:t>
      </w:r>
    </w:p>
    <w:p>
      <w:r>
        <w:rPr>
          <w:b/>
        </w:rPr>
        <w:t>Barrviolspindling (NT)</w:t>
      </w:r>
      <w:r>
        <w:t xml:space="preserve"> bildar mykorrhiza med gran, huvudsakligen i örtrika kalkpåverkade äldre granskogar. Arten är sannolikt uttorkningskänslig och knuten till granskogar med långvarig grankontinuitet. Den hotas främst av skogsavverkning och tycks försvinna efter slutavverkning, markberedning och plantering. Minskningstakten uppgår till 15 % inom 50 år och bedöms vara nära gränsvärdet för Sårbar (VU). (A2c+3c+4c) (SLU Artdatabanken, 2024; Nitare &amp; Skogsstyrelsen, 2019).</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Gultoppig fingersvamp (NT)</w:t>
      </w:r>
      <w:r>
        <w:t xml:space="preserve"> bildar mykorrhiza med gran i örtrik äldre barrskog. Den är något kalkgynnad och föredrar bördiga granskogar av lågörtstyp. Svampen hotas främst av skogsavverkning och tycks försvinna efter slutavverkning, markberedning och plantering. Skogsområden med arten bör undantas från storskaligt skogsbruk. Slutavverkning, kraftig gallring och skogsgödsling måste undvikas, liksom körning med tunga maskiner (SLU Artdatabanken, 2024).</w:t>
      </w:r>
    </w:p>
    <w:p>
      <w:r>
        <w:rPr>
          <w:b/>
        </w:rPr>
        <w:t>Kryddspindling (NT)</w:t>
      </w:r>
      <w:r>
        <w:t xml:space="preserve"> signalerar örtrika granskogar som normalt har höga naturvärden. Oftast växer den i äldre granskog på kalkrikt underlag och svampen är en mycket användbar signalart för denna miljö. Den utgör en viktig karaktärsart för all äldre kalkbarrskog med lång trädkontinuitet av gran. På lokalerna förekommer nästan alltid många ovanliga och rödlistade arter. Den totala populationen i landet har minskat och bedöms fortsätta minska till följd av avverkning av äldre barrskogar. Kryddspindling är typisk art för </w:t>
      </w:r>
      <w:r>
        <w:rPr>
          <w:i/>
        </w:rPr>
        <w:t xml:space="preserve">9050 Näringsrik granskog </w:t>
      </w:r>
      <w:r>
        <w:t>(Nitare &amp; Skogsstyrelsen, 2000;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Persiljespindling (NT)</w:t>
      </w:r>
      <w:r>
        <w:t xml:space="preserve"> bildar mykorrhiza med tall, gran och bok i ängsgranskog, kalktallskog och i ängsbokskog på rikare mark. Minskningstakten uppgår till 15 % inom 50 år och bedöms vara nära gränsvärdet för Sårbar (VU). (A2c+3c+4c). Persiljespindlingen hotas av avverkningar och är särskilt känslig eftersom den är knuten till äldre, produktiv barrskog, d.v.s. en skogstyp som är en bristvara i skyddade områden i Sverige och som samtidigt försvinner i snabb takt genom slutavverkningar. Skyddet för äldre ört- och kalkrika barrskogar med trädkontinuitet måste öka och oskyddade bokskogar med persiljespindling måste få ett formellt skydd i form av biotopskydd eller naturreservat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Äggvaxskivling (NT)</w:t>
      </w:r>
      <w:r>
        <w:t xml:space="preserve"> bildar mykorrhiza med gran och förekommer huvudsakligen i äldre blåbärsgranskog. Har i Sverige en nordlig utbredningsbild och är relativt vanlig i norra Sverige. Total population i landet bedöms ha minskat kraftigt och fortgående att minska p.g.a. slutavverkningar av kontinuitetsskogar. Skogar med rik förekomst av äggvaxskivling brukar ha en artrik flora av mykorrhizasvampar och kan betraktas som nyckelbiotoper (SLU Artdatabanken, 2024).</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Finbräken</w:t>
      </w:r>
      <w:r>
        <w:t xml:space="preserve"> växer på kalkrika marker i frisk eller fuktig mulljord. Den kräver konstant hög luftfuktighet och är mycket känslig för skogsbruksåtgärder. Arten är placerad högst upp i Skogsstyrelsens värdepyramid för bedömning av skog med höga naturvärden och utgör en karaktärsart för de mest skyddsvärda kalkgranskogarna med långvarig ekologisk kontinuitet och högt skyddsvärde. Finbräken är typisk art för </w:t>
      </w:r>
      <w:r>
        <w:rPr>
          <w:i/>
        </w:rPr>
        <w:t xml:space="preserve">9050 Näringsrik granskog </w:t>
      </w:r>
      <w:r>
        <w:t xml:space="preserve">och </w:t>
      </w:r>
      <w:r>
        <w:rPr>
          <w:i/>
        </w:rPr>
        <w:t xml:space="preserve">9040 Fjällbjörkskog </w:t>
      </w:r>
      <w:r>
        <w:t>(SLU Artdatabanken, 2024; Nitare &amp; Skogsstyrelsen, 2019).</w:t>
      </w:r>
    </w:p>
    <w:p>
      <w:r>
        <w:rPr>
          <w:b/>
        </w:rPr>
        <w:t>Guckusko (§7)</w:t>
      </w:r>
      <w:r>
        <w:t xml:space="preserve">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Guckusko är rödlistad som nära hotad (NT) i den europeiska rödlistan och Sverige hyser mer än halva den beräknade populationen av arten i EU, vilket innebär att vi har ett internationellt ansvar för arten. Guckusko är typisk art för </w:t>
      </w:r>
      <w:r>
        <w:rPr>
          <w:i/>
        </w:rPr>
        <w:t>9050 Näringsrik granskog</w:t>
      </w:r>
      <w:r>
        <w:t xml:space="preserve"> (SLU Artdatabanken, 2021; IUCN, 2011).</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 xml:space="preserve">Underviol </w:t>
      </w:r>
      <w:r>
        <w:t xml:space="preserve">är en bra signalart i hela sitt utbredningsområde i såväl lövlundar som kalkbarrskogar. Arten är särskilt intressant när den förekommer i barrskog och indikerar då troligen relikta och hotade kalkbarrskogsekosystem. Underviol tål inte dagens storskaliga skogsbruksmetoder även om den vid enstaka tillfällen lyckas kvarstå i fuktdråg efter avverkning. Underviol är typisk art för </w:t>
      </w:r>
      <w:r>
        <w:rPr>
          <w:i/>
        </w:rPr>
        <w:t xml:space="preserve">9050 Näringsrik granskog, 9020 Nordlig ädellövskog </w:t>
      </w:r>
      <w:r>
        <w:t xml:space="preserve">och </w:t>
      </w:r>
      <w:r>
        <w:rPr>
          <w:i/>
        </w:rPr>
        <w:t>9160 Näringsrik ekskog</w:t>
      </w:r>
      <w:r>
        <w:t xml:space="preserve"> (Nitare &amp; Skogsstyrelsen, 2019; SLU Artdatabanken, 2024).</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samrådsanmälda skogsområdet har 30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31 naturvårdsarter varav 20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Guckusko – ekologi samt krav på livsmiljön</w:t>
      </w:r>
    </w:p>
    <w:p>
      <w:r>
        <w:t>Guckusko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(SLU Artdatabanken, 2021).Dikning och slutavverkning av guckuskons växtplatser är ett direkt hot mot arten och bör undvikas. Kalavverkning missgynnar arten, dels om hyggesavfall lämnas, vilket kan kväva enskilda bestånd, dels indirekt genom att mer konkurrensstarka arter gynnas. Körskador av skogsmaskiner och hyggesplöjning kan leda till lokalt ändrad hydrologi, då de mullrika, fuktiga jordarna är mjuka. Sverige hyser mer än halva den beräknade populationen av arten i EU, vilket innebär att vi har ett internationellt ansvar för arten (SLU Artdatabanken, 2021).</w:t>
      </w:r>
    </w:p>
    <w:p>
      <w:pPr>
        <w:pStyle w:val="Heading2"/>
      </w:pPr>
      <w:r>
        <w:t>Referenser – guckusko</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