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32045-2020 i Krokoms kommun</w:t>
      </w:r>
    </w:p>
    <w:p>
      <w:r>
        <w:t>Detta dokument behandlar höga naturvärden i avverkningsanmälan A 32045-2020 i Krokoms kommun. Denna avverkningsanmälan inkom 2020-07-02 och omfattar 315,8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och rödlistade arter.</w:t>
      </w:r>
    </w:p>
    <w:p>
      <w:pPr>
        <w:pStyle w:val="Heading1"/>
      </w:pPr>
      <w:r>
        <w:t>Naturvårdsarter</w:t>
      </w:r>
    </w:p>
    <w:p>
      <w:r>
        <w:t>I avverkningsanmälan har följande 26 naturvårdsarter hittats: doftticka (VU, §8), norsk näverlav (VU), rynkskinn (VU), brunpudrad nållav (NT), doftskinn (NT), gammelgransskål (NT), garnlav (NT), granticka (NT), gränsticka (NT), harticka (NT), lunglav (NT), rödbrun blekspik (NT), skrovellav (NT), spillkråka (NT, §4), tretåig hackspett (NT, §4), ullticka (NT), bårdlav (S), gulnål (S), korallblylav (S), korallrot (S, §8), luddlav (S), spindelblomster (S, §8), stuplav (S), vedticka (S), fläcknycklar (§8) och revlummer (§9). Av dessa är 16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268830"/>
            <wp:docPr id="1" name="Picture 1"/>
            <wp:cNvGraphicFramePr>
              <a:graphicFrameLocks noChangeAspect="1"/>
            </wp:cNvGraphicFramePr>
            <a:graphic>
              <a:graphicData uri="http://schemas.openxmlformats.org/drawingml/2006/picture">
                <pic:pic>
                  <pic:nvPicPr>
                    <pic:cNvPr id="0" name="A 32045-2020 karta.png"/>
                    <pic:cNvPicPr/>
                  </pic:nvPicPr>
                  <pic:blipFill>
                    <a:blip r:embed="rId16"/>
                    <a:stretch>
                      <a:fillRect/>
                    </a:stretch>
                  </pic:blipFill>
                  <pic:spPr>
                    <a:xfrm>
                      <a:off x="0" y="0"/>
                      <a:ext cx="5486400" cy="4268830"/>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7105429, E 463650 i SWEREF 99 TM.</w:t>
      </w:r>
    </w:p>
    <w:p>
      <w:r>
        <w:rPr>
          <w:b/>
        </w:rPr>
        <w:t>Brunpudrad nållav (NT)</w:t>
      </w:r>
      <w:r>
        <w:t xml:space="preserve"> är beroende av hög, jämn luftfuktighet och kan påträffas i fuktiga skogar av naturskogskaraktär, ofta i sumpgranskog eller andra sumpskogar. Arten är placerad högst upp i Skogsstyrelsens värdepyramid för bedömning av skog med höga naturvärden och förekomster bör undantas från skogsbruksåtgärder (SLU Artdatabanken, 2024; Nitare &amp; Skogsstyrelsen, 2019).</w:t>
      </w:r>
    </w:p>
    <w:p>
      <w:r>
        <w:rPr>
          <w:b/>
        </w:rPr>
        <w:t>Doftskinn (NT)</w:t>
      </w:r>
      <w:r>
        <w:t>, rödlistad som nära hotad, är en mycket bra signalart för boreal granskog och indikerar ett gran-skogsekosystem med lång kontinuitet av grova lågor. Arten är placerad i toppen av Skogsstyrelsens värdepyramid för bedömning av skog med höga naturvärden och har klassats som en “urskogsindikator”, då den förekommer med ett tydligt optimum i helt eller nästan helt orörda skogar (Nitare &amp; Skogsstyrelsen, 2019).</w:t>
      </w:r>
    </w:p>
    <w:p>
      <w:r>
        <w:rPr>
          <w:b/>
        </w:rPr>
        <w:t>Gammelgransskål (NT)</w:t>
      </w:r>
      <w:r>
        <w:t xml:space="preserve"> är en liten skålsvamp som växer på gamla granar med skrovlig bark. Typiska växtplatser är gransumpskog i myrkanter, bäckdråg, bäckraviner och skuggiga bergssluttningar, men också skog på torrare mark kan hysa arten om beståndet har stark naturskogskaraktär. Bestånd med arten bör behandlas som nyckelbiotoper och sparas vid en slutavverkning. Även gallring bör undvikas (SLU Artdatabanken, 2024; Nitare &amp; Skogsstyrelsen, 2019).</w:t>
      </w:r>
    </w:p>
    <w:p>
      <w:r>
        <w:rPr>
          <w:b/>
        </w:rPr>
        <w:t>Garnlav (NT)</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Orsaken till tillbakagången beror främst på slutavverkningar av naturskogsartade skogar. Bestånd med riklig förekomst bör regelmässigt sparas.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(SLU Artdatabanken, 2024).</w:t>
      </w:r>
    </w:p>
    <w:p>
      <w:r>
        <w:rPr>
          <w:b/>
        </w:rPr>
        <w:t>Granticka (NT)</w:t>
      </w:r>
      <w:r>
        <w:t xml:space="preserve"> förekommer främst i äldre skogar med naturskogskaraktär, liksom i dimensionsavverkade och plockhuggna skogar. I äldre grannaturskog i norra Sverige är den alltjämt en förhållandevis vanlig karaktärsart, medan den längre söderut blir allt mer sällsynt. I Götaland och delar av Svealand är den en god signalart för skyddsvärda granskogsmiljöer. Arten bedöms ha minskat starkt under senare år på grund av skogsavverkningar, då den framför allt växer i äldre granskog med långvarig grankontinuitet. I urskogsliknande bestånd i norra Sverige kan ibland påträffas den mycket sällsynta tickan grantickeporing (VU), som lever på döda grantickor (SLU Artdatabanken, 2024; Nitare &amp; Skogsstyrelsen, 2019).</w:t>
      </w:r>
    </w:p>
    <w:p>
      <w:r>
        <w:rPr>
          <w:b/>
        </w:rPr>
        <w:t>Gränsticka (NT)</w:t>
      </w:r>
      <w:r>
        <w:t xml:space="preserve"> är en mycket bra signalart inom hela sitt utbredningsområde. Den är huvudsakligen knuten till restbestånd av barrnaturskog och förekommer med ett tydligt optimum i orörda eller måttligt påverkade gamla granskogar där det föreligger långvarig kontinuitet av grov död ved. Lokaler som hyser arten, speciellt i mellersta och södra Sverige, bör undantas från skogsbruk (SLU Artdatabanken, 2024; Nitare &amp; Skogsstyrelsen, 2019).</w:t>
      </w:r>
    </w:p>
    <w:p>
      <w:r>
        <w:rPr>
          <w:b/>
        </w:rPr>
        <w:t>Harticka (NT)</w:t>
      </w:r>
      <w:r>
        <w:t xml:space="preserve"> är normalt en mycket bra signalart för granskogar med höga naturvärden. Även när svampen påträffas i mer påverkade skogar är det nästan alltid fråga om skogsmiljöer i sena successionsstadier med höga naturvärden. Skogsskötselåtgärder på eller i omedelbar närhet av växtplatserna kan innebära ett hot mot arten (SLU Artdatabanken, 2024; Nitare &amp; Skogsstyrelsen, 2019).</w:t>
      </w:r>
    </w:p>
    <w:p>
      <w:r>
        <w:rPr>
          <w:b/>
        </w:rPr>
        <w:t>Korallblylav</w:t>
      </w:r>
      <w:r>
        <w:t xml:space="preserve"> växer på bark av asp, ask, rönn, sälg, bok och lönn och signalerar överallt skogsbestånd med höga naturvärden och den följs nästan alltid av andra ovanliga och rödlistade arter. Den indikerar hög och jämn luftfuktighet och växer främst i områden med lång skoglig kontinuitet där det funnits ett ständigt inslag av gamla lövträd (SLU Artdatabanken, 2024; Nitare &amp; Skogsstyrelsen, 2019).</w:t>
      </w:r>
    </w:p>
    <w:p>
      <w:r>
        <w:rPr>
          <w:b/>
        </w:rPr>
        <w:t>Lunglav (NT)</w:t>
      </w:r>
      <w:r>
        <w:t xml:space="preserve">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Det finns ett antal sällsynta lavparasiter som växer på lunglav: lunglavsknapp (VU), skrovelmössing (DD), lunglavshårprick (DD), </w:t>
      </w:r>
      <w:r>
        <w:rPr>
          <w:i/>
        </w:rPr>
        <w:t>Calycina alstrupii</w:t>
      </w:r>
      <w:r>
        <w:t xml:space="preserve"> (NA) och </w:t>
      </w:r>
      <w:r>
        <w:rPr>
          <w:i/>
        </w:rPr>
        <w:t>Chalara lobariae</w:t>
      </w:r>
      <w:r>
        <w:t xml:space="preserve"> (NA) (SLU Artdatabanken, 2025; SLU Artdatabanken, 2024; Nitare &amp; Skogsstyrelsen, 2019).</w:t>
      </w:r>
    </w:p>
    <w:p>
      <w:r>
        <w:rPr>
          <w:b/>
        </w:rPr>
        <w:t>Norsk näverlav (VU)</w:t>
      </w:r>
      <w:r>
        <w:t>, rödlistad som sårbar, är en suboceanisk art och påträffas bara i områden med hög och jämn luftfuktighet. Den växer i fuktiga granskogar, främst på stammar eller grenar av äldre björkar och granar. Arten är placerad i toppen av Skogsstyrelsens värdepyramid för bedömning av skog med höga naturvärden och försvinner eller missgynnas starkt vid all form av avverkning på eller i anslutning till lokalerna. Norsk näverlav har en hög andel av sin världspopulation i Norge och Sverige vilket medför ett särskilt ansvar för arten (Nitare &amp; Skogsstyrelsen, 2019; SLU Artdatabanken, 2024).</w:t>
      </w:r>
    </w:p>
    <w:p>
      <w:r>
        <w:rPr>
          <w:b/>
        </w:rPr>
        <w:t>Rynkskinn (VU)</w:t>
      </w:r>
      <w:r>
        <w:t>, rödlistad som sårbar, är en vednedbrytare som växer på grova granlågor och ingår i en karaktäristisk association av vedsvampar knutna till urskogsartade barrskogar. Den har klassificerats som en “urskogsindikator” och är placerad i toppen av Skogsstyrelsens värdepyramid för bedömning av skog med höga naturvärden. Allt tyder på att rynkskinn är mycket känslig för skogliga ingrepp (Nitare &amp; Skogsstyrelsen, 2019; SLU Artdatabanken, 2024).</w:t>
      </w:r>
    </w:p>
    <w:p>
      <w:r>
        <w:rPr>
          <w:b/>
        </w:rPr>
        <w:t>Rödbrun blekspik (NT)</w:t>
      </w:r>
      <w:r>
        <w:t xml:space="preserve"> växer i norra Sverige på bark och ved av björk och gran i skogar med hög och jämn luftfuktighet. I södra Sverige växer den främst på ek i öppna åldriga lövskogar. I norra delen av sitt utbredningsområde hotas arten av slutavverkningar av gamla granskogar. I den södra delen av landet hotas den genom de åldriga lövskogarnas tillbakagång och särskilt ekhagarnas igenväxning och genom plantering av sådan mark med barrskog. Rödbrun blekspik signalerar alltid höga naturvärden (SLU Artdatabanken, 2024; Nitare &amp; Skogsstyrelsen, 2019).</w:t>
      </w:r>
    </w:p>
    <w:p>
      <w:r>
        <w:rPr>
          <w:b/>
        </w:rPr>
        <w:t>Skrovellav (NT)</w:t>
      </w:r>
      <w:r>
        <w:t xml:space="preserve"> växer på gamla lövträd och på klippor i gamla skogar med hög och jämn luftfuktighet. Slutavverkning av kontinuitetsskog utgör det största hotet och lavens fortsatta förekomst bör säkerställas genom att lokaler med äldre skog skyddas. I områden med mycket hög luftfuktighet kan man på bålen av skrovellav finna en sällsynt parasitsvamp med rödbruna apothecier, skrovellavsknapp </w:t>
      </w:r>
      <w:r>
        <w:rPr>
          <w:i/>
        </w:rPr>
        <w:t>Plectocarpon scrobiculatae</w:t>
      </w:r>
      <w:r>
        <w:t xml:space="preserve"> (EN) (SLU Artdatabanken, 2024; Nitare &amp; Skogsstyrelsen, 2019).</w:t>
      </w:r>
    </w:p>
    <w:p>
      <w:r>
        <w:rPr>
          <w:b/>
        </w:rPr>
        <w:t>Stuplav</w:t>
      </w:r>
      <w:r>
        <w:t xml:space="preserve"> är en mycket bra signalart i hela sitt utbredningsområde och förekommer nästan enbart i skogsmiljöer med höga naturvärden. Den indikerar långvarig förekomst av gamla lövträd och miljöer med konstant hög luftfuktighet. I skogar med suboceaniskt klimat finns det en mycket sällsynt parasit, njurlavsknapp </w:t>
      </w:r>
      <w:r>
        <w:rPr>
          <w:i/>
        </w:rPr>
        <w:t>Pletocarpon nephromeum</w:t>
      </w:r>
      <w:r>
        <w:t xml:space="preserve"> (EN), som växer på stuplav (SLU Artdatabanken, 2024; Nitare &amp; Skogsstyrelsen, 2019).</w:t>
      </w:r>
    </w:p>
    <w:p>
      <w:r>
        <w:rPr>
          <w:b/>
        </w:rPr>
        <w:t>Ullticka (NT)</w:t>
      </w:r>
      <w:r>
        <w:t xml:space="preserve"> är knuten till restbestånd av barrnaturskog och förekommer med ett tydligt optimum i orörda eller måttligt påverkade gamla granskogar där det föreligger viss kontinuitet av grov död ved. Ullticka är en bra signalart inom hela sitt utbredningsområde och i södra Sverige är den sällsynt och en god signalart för skyddsvärda granskogsmiljöer. Den hotas av avverkning och fragmentering av naturskog och äldre granskog med lång trädkontinuitet. På ullticka kan ibland ulltickeporing (VU) påträffas - det är en sällsynt ticka som nyligen delats upp i tre olika arter: </w:t>
      </w:r>
      <w:r>
        <w:rPr>
          <w:i/>
        </w:rPr>
        <w:t xml:space="preserve">Skeletocutis brevispora </w:t>
      </w:r>
      <w:r>
        <w:t>(ulltickeporing)</w:t>
      </w:r>
      <w:r>
        <w:rPr>
          <w:i/>
        </w:rPr>
        <w:t>, Skeletocutis delicata och Skeletocutis exilis</w:t>
      </w:r>
      <w:r>
        <w:t>. De två sistnämnda arterna står för närvarande (2020) som ej bedömda i rödlistan (SLU Artdatabanken, 2024; Nitare &amp; Skogsstyrelsen, 2019; Miettinen &amp; Niemelä, 2018).</w:t>
      </w:r>
    </w:p>
    <w:p>
      <w:pPr>
        <w:pStyle w:val="Heading1"/>
      </w:pPr>
      <w:r>
        <w:t>Fridlysta arter</w:t>
      </w:r>
    </w:p>
    <w:p>
      <w:r>
        <w:t>Följande fridlysta arter har sina livsmiljöer och växtplatser i den avverkningsanmälda skogen: doftticka (VU, §8), spillkråka (NT, §4), tretåig hackspett (NT, §4), korallrot (S, §8), spindelblomster (S, §8), fläcknycklar (§8) och revlummer (§9).</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Doftticka (VU, §8)</w:t>
      </w:r>
      <w:r>
        <w:t xml:space="preserve"> är rödlistad som sårbar (VU) och fridlyst enligt 8§ artskyddsförordningen. Den är även globalt rödlistad som Nära hotad (NT) vilket innebär att Sverige har ett internationellt ansvar för arten. Doftticka är beroende av hög och jämn luftfuktighet i gamla, ostörda skogsmiljöer och är känslig för snabba förändringar av ljus-/vindförhållanden eller uttorkning. Dofttickan är placerad i toppen av Skogsstyrelsens värdepyramid för bedömning av skog med höga naturvärden och signalerar alltid gamla sälgar och skogsområden med höga naturvärden. Avverkning av värdträd (främst sälg) utgör det största hotet och när gamla och olikåldriga skogar med sälg avverkas försvinner oftast sälgen. Dofttickan har minskat med ca 30 % under de senaste 30 åren (IUCN Redlist, 2024; Nitare &amp; Skogsstyrelsen, 2019; SLU Artdatabanken, 2024).</w:t>
      </w:r>
    </w:p>
    <w:p>
      <w:r>
        <w:rPr>
          <w:b/>
        </w:rPr>
        <w:t>Korallrot (§8)</w:t>
      </w:r>
      <w:r>
        <w:t xml:space="preserve"> växer i sumpskogar och annan fuktig eller växelfuktig skogsmark, exempelvis i alkärr och kärrkanter, fuktiga bäckdalar, raviner, myrlaggar, sumpiga strandskogar samt i fuktiga lundar. Den visar på mer eller mindre stabila förhållanden och intakt hydrologi och är känslig för avverkning, körskador, skogsgödsling och dikning. Arten är fridlyst enligt 8 § artskyddsförordningen (SLU Artdatabanken, 2024; Nitare &amp; Skogsstyrelsen, 2019).</w:t>
      </w:r>
    </w:p>
    <w:p>
      <w:r>
        <w:rPr>
          <w:b/>
        </w:rPr>
        <w:t>Spillkråka (NT, §4)</w:t>
      </w:r>
      <w:r>
        <w:t xml:space="preserve"> är rödlistad som nära hotad och ingår i bilaga 1 i EU:s fågeldirektiv. Den minskar i population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(SLU Artdatabanken, 2023).</w:t>
      </w:r>
    </w:p>
    <w:p>
      <w:r>
        <w:rPr>
          <w:b/>
        </w:rPr>
        <w:t>Spindelblomster (§8)</w:t>
      </w:r>
      <w:r>
        <w:t xml:space="preserve"> växer i äldre mossrik granskog eller barrblandskog, men även i fjällbjörkskog. Arten indikerar långvarig trädkontinuitet och hög luftfuktighet och är mycket känslig för uttorkning och markskador. Spindelblomster har i många trakter minskat starkt under senare tid på grund av slutavverkningar och skogsmarksdikning (Nitare &amp; Skogsstyrelsen, 2019).</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Områden med dokumenterad permanent förekomst i naturskogsmiljöer har vanligen så stora naturvärden att skogsbruk är olämpligt (Skogsstyrelsen, 2016).</w:t>
      </w:r>
    </w:p>
    <w:p>
      <w:r>
        <w:t>I BILAGA 1 finns mer detaljerad information om ekologi samt krav på livsmiljö hos fridlysta arter.</w:t>
      </w:r>
    </w:p>
    <w:p>
      <w:r>
        <w:br w:type="page"/>
      </w:r>
    </w:p>
    <w:p>
      <w:pPr>
        <w:pStyle w:val="Title"/>
      </w:pPr>
      <w:r>
        <w:t>BILAGA 1 –</w:t>
        <w:br/>
        <w:t>Fridlysta och rödlistade arter</w:t>
      </w:r>
    </w:p>
    <w:p>
      <w:pPr>
        <w:pStyle w:val="Heading1"/>
      </w:pPr>
      <w:r>
        <w:t>Lunglav – ekologi samt krav på livsmiljön</w:t>
      </w:r>
    </w:p>
    <w:p>
      <w:r>
        <w:t>Lunglav (NT)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(SLU Artdatabanken, 2024; Nitare &amp; Skogsstyrelsen, 2019).</w:t>
      </w:r>
    </w:p>
    <w:p>
      <w:r>
        <w:t xml:space="preserve">På lunglav kan man sällsynt finna små svarta skivlika bildningar som liknar apothecier men som är en parasitisk svamp, Lunglavsknapp </w:t>
      </w:r>
      <w:r>
        <w:rPr>
          <w:i/>
        </w:rPr>
        <w:t>Plectocarpon lichenum</w:t>
      </w:r>
      <w:r>
        <w:t xml:space="preserve"> (VU). Det finns ytterligare ett antal parasiter vilka bara förekommer på lunglav: Skrovelmössing </w:t>
      </w:r>
      <w:r>
        <w:rPr>
          <w:i/>
        </w:rPr>
        <w:t>Dactylospora lobariella</w:t>
      </w:r>
      <w:r>
        <w:t xml:space="preserve"> (rödlistad som Kunskapsbrist DD) och Lunglavshårprick </w:t>
      </w:r>
      <w:r>
        <w:rPr>
          <w:i/>
        </w:rPr>
        <w:t>Niesslia lobariae</w:t>
      </w:r>
      <w:r>
        <w:t xml:space="preserve"> (rödlistad som Kunskapsbrist DD). Skrovelmössing (DD) har små svarta apothecier och bruna, 1-septerade sporer och Lunglavshårprick (DD) har brunhåriga perithecier och färglösa, 1-septerade sporer. Nyligen har ytterligare två lavparasiter påträffats i Sverige som växer på lunglav: </w:t>
      </w:r>
      <w:r>
        <w:rPr>
          <w:i/>
        </w:rPr>
        <w:t>Calycina alstrupii</w:t>
      </w:r>
      <w:r>
        <w:t xml:space="preserve"> (NA) och </w:t>
      </w:r>
      <w:r>
        <w:rPr>
          <w:i/>
        </w:rPr>
        <w:t>Chalara lobariae</w:t>
      </w:r>
      <w:r>
        <w:t xml:space="preserve"> (NA) (SLU Artdatabanken, 2025; SLU Artdatabanken, 2024; Nitare &amp; Skogsstyrelsen, 2019).</w:t>
      </w:r>
    </w:p>
    <w:p>
      <w:pPr>
        <w:pStyle w:val="Heading2"/>
      </w:pPr>
      <w:r>
        <w:t>Referenser – lunglav</w:t>
      </w:r>
    </w:p>
    <w:p>
      <w:r>
        <w:t xml:space="preserve">Nitare, J. och Skogsstyrelsen, 2019. </w:t>
      </w:r>
      <w:r>
        <w:rPr>
          <w:i/>
        </w:rPr>
        <w:t xml:space="preserve">Skyddsvärd skog – Naturvårdsarter och andra kriterier för naturvärdesbedömning. </w:t>
      </w:r>
      <w:r>
        <w:t>Skogsstyrelsen.</w:t>
      </w:r>
    </w:p>
    <w:p>
      <w:r>
        <w:t xml:space="preserve">SLU Artdatabanken, 2024. </w:t>
      </w:r>
      <w:r>
        <w:rPr>
          <w:i/>
        </w:rPr>
        <w:t xml:space="preserve">Artfaktablad. Naturvård – artfakta. </w:t>
      </w:r>
      <w:r>
        <w:t>SLU Artdatabanken, Uppsala.</w:t>
      </w:r>
    </w:p>
    <w:p>
      <w:r>
        <w:t xml:space="preserve">SLU Artdatabanken, 2025. </w:t>
      </w:r>
      <w:r>
        <w:rPr>
          <w:i/>
        </w:rPr>
        <w:t xml:space="preserve">Över 20 nya lavparasiter för Sverige. </w:t>
      </w:r>
      <w:r>
        <w:t>https://www.slu.se/artdatabanken/arter-och-natur/artiklar/over-20-nya-lavparasiter-for-sverige/</w:t>
      </w:r>
    </w:p>
    <w:p>
      <w:pPr>
        <w:pStyle w:val="Heading1"/>
      </w:pPr>
      <w:r>
        <w:t>Spillkråka – ekologi samt krav på livsmiljön</w:t>
      </w:r>
    </w:p>
    <w:p>
      <w:r>
        <w:t>Spillkråka (NT) är rödlistad som nära hotad, fridlyst enligt §4 Artskyddsförordningen och ingår i bilaga 1 i EU:s fågeldirektiv. Spillkråka lever i både barr- och blandskog liksom i ren lövskog. De tätaste populationerna tenderar att finnas i äldre, variationsrik blandskog med gott om död ved och gamla träd.</w:t>
      </w:r>
    </w:p>
    <w:p>
      <w:r>
        <w:t>Varje par utnyttjar 400–1000 hektar skog beroende på skogens kvalitet. En minskning av populationen pågår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(Artdatabanken 2023).</w:t>
      </w:r>
    </w:p>
    <w:p>
      <w:pPr>
        <w:pStyle w:val="Heading2"/>
      </w:pPr>
      <w:r>
        <w:t>Referenser – spillkråka</w:t>
      </w:r>
    </w:p>
    <w:p>
      <w:r>
        <w:t xml:space="preserve">SLU Artdatabanken, 2021. </w:t>
      </w:r>
      <w:r>
        <w:rPr>
          <w:i/>
        </w:rPr>
        <w:t xml:space="preserve">Artfaktablad. Naturvård – artfakta. </w:t>
      </w:r>
      <w:r>
        <w:t>SLU Artdatabanken, Uppsala</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w:t>
      </w:r>
    </w:p>
    <w:p>
      <w:r>
        <w:t>Förutom fridlysning enligt §4 Artskyddsförordningen är tretåig hackspett även förtecknad i EU:s fågeldirektiv bilaga 1. Den ingår också i Natura 2000 och är förtecknad i Bernkonventionen bilaga II (strikt skyddade djurarter).</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 xml:space="preserve">Vägledning för hänsyn till fåglar – Tretåig hackspett. </w:t>
      </w:r>
      <w:r>
        <w:t>www.skogsstyrelsen.se</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2025-07-11</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