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klagomål behandlar höga naturvärden i avverkningsanmälan A 33875-2021 i Krokoms kommun som inkom 2021-07-01 och omfattar 31,9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7085427, E 456354 i SWEREF 99 TM.</w:t>
      </w:r>
    </w:p>
    <w:p>
      <w:r>
        <w:t>I och inom 22 meter från avverkningsanmälan finns fynd av 31 naturvårdsarter, varav 17 är rödlistade, 2 är fridlysta, 26 är typiska (T) och 13 är signalarter (S): garnlav (VU, T), gränsticka (VU, T), liten sotlav (VU, T), mörk rödprick (VU), norsk näverlav (VU), ostticka (VU, T), smalskaftslav (VU), vitskaftad svartspik (VU, T), doftskinn (NT, T), gammelgransskål (NT, T), harticka (NT, T), lunglav (NT, T), rosenticka (NT, T), rynkskinn (NT, T), skrovellav (NT, T), ullticka (NT, T), vitgrynig nållav (NT), barkkornlav (S, T), bronshjon (S, T), gulnål (S, T), gytterlav (S, T), luddlav (S, T), mörk husmossa (S, T), rostfläck (S, T), skogshakmossa (S, T), spindelblomster (S, T, §8), stuplav (S, T), svavelriska (S),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